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23" w:rsidRDefault="006E5723" w:rsidP="006E5723">
      <w:pPr>
        <w:pStyle w:val="Heading1"/>
      </w:pPr>
      <w:bookmarkStart w:id="0" w:name="_GoBack"/>
      <w:bookmarkEnd w:id="0"/>
      <w:r>
        <w:t>Supplemental data</w:t>
      </w:r>
    </w:p>
    <w:p w:rsidR="006E5723" w:rsidRPr="0078457C" w:rsidRDefault="006E5723" w:rsidP="006E5723">
      <w:r>
        <w:t>Supplemental Data 1.doc</w:t>
      </w:r>
    </w:p>
    <w:p w:rsidR="006E5723" w:rsidRDefault="006E5723" w:rsidP="006E5723">
      <w:r>
        <w:rPr>
          <w:b/>
        </w:rPr>
        <w:t xml:space="preserve">Table S1. </w:t>
      </w:r>
      <w:proofErr w:type="gramStart"/>
      <w:r>
        <w:t>Demographics and Baseline Characteristics.</w:t>
      </w:r>
      <w:proofErr w:type="gramEnd"/>
      <w:r>
        <w:t xml:space="preserve"> Reprinted with permission from Kim DW et al, </w:t>
      </w:r>
      <w:proofErr w:type="spellStart"/>
      <w:r>
        <w:t>Brigatinib</w:t>
      </w:r>
      <w:proofErr w:type="spellEnd"/>
      <w:r>
        <w:t xml:space="preserve"> in Patients </w:t>
      </w:r>
      <w:proofErr w:type="gramStart"/>
      <w:r>
        <w:t>With</w:t>
      </w:r>
      <w:proofErr w:type="gramEnd"/>
      <w:r>
        <w:t xml:space="preserve"> </w:t>
      </w:r>
      <w:proofErr w:type="spellStart"/>
      <w:r>
        <w:t>Crizotinib</w:t>
      </w:r>
      <w:proofErr w:type="spellEnd"/>
      <w:r>
        <w:t>-Refractory Anaplastic Lymphoma Kinase</w:t>
      </w:r>
      <w:r>
        <w:rPr>
          <w:rFonts w:cs="Arial"/>
        </w:rPr>
        <w:t>–</w:t>
      </w:r>
      <w:r>
        <w:t>Positive Non</w:t>
      </w:r>
      <w:r>
        <w:rPr>
          <w:rFonts w:cs="Arial"/>
        </w:rPr>
        <w:t>–</w:t>
      </w:r>
      <w:r>
        <w:t xml:space="preserve">Small-Cell Lung Cancer: A Randomized, Multicenter Phase II Trial, Journal of Clinical Oncology, Volume </w:t>
      </w:r>
      <w:r w:rsidRPr="00444601">
        <w:t>35</w:t>
      </w:r>
      <w:r>
        <w:t xml:space="preserve"> </w:t>
      </w:r>
      <w:r w:rsidRPr="00444601">
        <w:t>(</w:t>
      </w:r>
      <w:r>
        <w:t xml:space="preserve">Issue </w:t>
      </w:r>
      <w:r w:rsidRPr="00444601">
        <w:t>22)</w:t>
      </w:r>
      <w:r>
        <w:t xml:space="preserve">, Pages </w:t>
      </w:r>
      <w:r w:rsidRPr="00444601">
        <w:t>2490-2498</w:t>
      </w:r>
      <w:r>
        <w:t xml:space="preserve">. </w:t>
      </w:r>
      <w:r>
        <w:rPr>
          <w:rFonts w:cs="Arial"/>
        </w:rPr>
        <w:t>©</w:t>
      </w:r>
      <w:r>
        <w:t xml:space="preserve"> 2017 by American Society of Clinical Oncology.</w:t>
      </w:r>
      <w:r w:rsidRPr="00EA6A01">
        <w:rPr>
          <w:vertAlign w:val="superscript"/>
        </w:rPr>
        <w:t>1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3168"/>
        <w:gridCol w:w="2160"/>
        <w:gridCol w:w="2160"/>
        <w:gridCol w:w="2160"/>
      </w:tblGrid>
      <w:tr w:rsidR="006E5723" w:rsidRPr="009E7728" w:rsidTr="004518D1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723" w:rsidRPr="00735A75" w:rsidRDefault="006E5723" w:rsidP="004518D1">
            <w:pPr>
              <w:spacing w:before="60"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723" w:rsidRPr="00F157FC" w:rsidRDefault="006E5723" w:rsidP="004518D1">
            <w:pPr>
              <w:spacing w:before="60" w:line="360" w:lineRule="auto"/>
              <w:jc w:val="center"/>
              <w:rPr>
                <w:b/>
              </w:rPr>
            </w:pPr>
            <w:r w:rsidRPr="00F157FC">
              <w:rPr>
                <w:b/>
              </w:rPr>
              <w:t>Arm A</w:t>
            </w:r>
          </w:p>
          <w:p w:rsidR="006E5723" w:rsidRPr="00F157FC" w:rsidRDefault="006E5723" w:rsidP="004518D1">
            <w:pPr>
              <w:spacing w:before="60" w:line="360" w:lineRule="auto"/>
              <w:jc w:val="center"/>
              <w:rPr>
                <w:b/>
              </w:rPr>
            </w:pPr>
            <w:r w:rsidRPr="00F157FC">
              <w:rPr>
                <w:b/>
              </w:rPr>
              <w:t xml:space="preserve">90 mg </w:t>
            </w:r>
            <w:r w:rsidR="00154BE0">
              <w:rPr>
                <w:b/>
              </w:rPr>
              <w:br/>
              <w:t>Once Daily</w:t>
            </w:r>
          </w:p>
          <w:p w:rsidR="006E5723" w:rsidRPr="00F157FC" w:rsidRDefault="006E5723" w:rsidP="004518D1">
            <w:pPr>
              <w:spacing w:before="60" w:line="360" w:lineRule="auto"/>
              <w:jc w:val="center"/>
              <w:rPr>
                <w:b/>
              </w:rPr>
            </w:pPr>
            <w:r w:rsidRPr="00CC6858">
              <w:rPr>
                <w:b/>
              </w:rPr>
              <w:t>n</w:t>
            </w:r>
            <w:r w:rsidRPr="00EC3D51">
              <w:rPr>
                <w:b/>
              </w:rPr>
              <w:t>=</w:t>
            </w:r>
            <w:r w:rsidRPr="00F157FC">
              <w:rPr>
                <w:b/>
              </w:rP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723" w:rsidRPr="00376985" w:rsidRDefault="006E5723" w:rsidP="004518D1">
            <w:pPr>
              <w:spacing w:before="60" w:line="360" w:lineRule="auto"/>
              <w:jc w:val="center"/>
              <w:rPr>
                <w:b/>
                <w:lang w:val="sv-SE"/>
              </w:rPr>
            </w:pPr>
            <w:r w:rsidRPr="00376985">
              <w:rPr>
                <w:b/>
                <w:lang w:val="sv-SE"/>
              </w:rPr>
              <w:t>Arm B</w:t>
            </w:r>
          </w:p>
          <w:p w:rsidR="006E5723" w:rsidRPr="00376985" w:rsidRDefault="006E5723" w:rsidP="004518D1">
            <w:pPr>
              <w:spacing w:before="60" w:line="360" w:lineRule="auto"/>
              <w:jc w:val="center"/>
              <w:rPr>
                <w:b/>
                <w:lang w:val="sv-SE"/>
              </w:rPr>
            </w:pPr>
            <w:r w:rsidRPr="00376985">
              <w:rPr>
                <w:b/>
                <w:lang w:val="sv-SE"/>
              </w:rPr>
              <w:t xml:space="preserve">90 mg </w:t>
            </w:r>
            <w:r w:rsidRPr="00F157FC">
              <w:rPr>
                <w:rFonts w:cs="Arial"/>
                <w:b/>
              </w:rPr>
              <w:sym w:font="Wingdings" w:char="F0E0"/>
            </w:r>
          </w:p>
          <w:p w:rsidR="006E5723" w:rsidRPr="00376985" w:rsidRDefault="006E5723" w:rsidP="004518D1">
            <w:pPr>
              <w:spacing w:before="60" w:line="360" w:lineRule="auto"/>
              <w:jc w:val="center"/>
              <w:rPr>
                <w:b/>
                <w:lang w:val="sv-SE"/>
              </w:rPr>
            </w:pPr>
            <w:r w:rsidRPr="00376985">
              <w:rPr>
                <w:b/>
                <w:lang w:val="sv-SE"/>
              </w:rPr>
              <w:t xml:space="preserve">180 mg </w:t>
            </w:r>
            <w:r w:rsidR="00154BE0">
              <w:rPr>
                <w:b/>
                <w:lang w:val="sv-SE"/>
              </w:rPr>
              <w:br/>
            </w:r>
            <w:r w:rsidR="00154BE0">
              <w:rPr>
                <w:b/>
              </w:rPr>
              <w:t>Once Daily</w:t>
            </w:r>
            <w:r w:rsidRPr="00376985">
              <w:rPr>
                <w:b/>
                <w:vertAlign w:val="superscript"/>
                <w:lang w:val="sv-SE"/>
              </w:rPr>
              <w:t>a</w:t>
            </w:r>
          </w:p>
          <w:p w:rsidR="006E5723" w:rsidRPr="00376985" w:rsidRDefault="006E5723" w:rsidP="004518D1">
            <w:pPr>
              <w:spacing w:before="60" w:line="360" w:lineRule="auto"/>
              <w:jc w:val="center"/>
              <w:rPr>
                <w:b/>
                <w:lang w:val="sv-SE"/>
              </w:rPr>
            </w:pPr>
            <w:r w:rsidRPr="00376985">
              <w:rPr>
                <w:b/>
                <w:lang w:val="sv-SE"/>
              </w:rPr>
              <w:t>n=110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723" w:rsidRPr="00F157FC" w:rsidRDefault="006E5723" w:rsidP="004518D1">
            <w:pPr>
              <w:spacing w:before="60" w:line="360" w:lineRule="auto"/>
              <w:jc w:val="center"/>
              <w:rPr>
                <w:b/>
              </w:rPr>
            </w:pPr>
            <w:r w:rsidRPr="00F157FC">
              <w:rPr>
                <w:b/>
              </w:rPr>
              <w:t>Total</w:t>
            </w:r>
          </w:p>
          <w:p w:rsidR="006E5723" w:rsidRPr="00F157FC" w:rsidRDefault="006E5723" w:rsidP="004518D1">
            <w:pPr>
              <w:spacing w:before="60" w:line="360" w:lineRule="auto"/>
              <w:jc w:val="center"/>
              <w:rPr>
                <w:b/>
              </w:rPr>
            </w:pPr>
            <w:r w:rsidRPr="00CC6858">
              <w:rPr>
                <w:b/>
              </w:rPr>
              <w:t>N</w:t>
            </w:r>
            <w:r w:rsidRPr="00EC3D51">
              <w:rPr>
                <w:b/>
              </w:rPr>
              <w:t>=</w:t>
            </w:r>
            <w:r w:rsidRPr="00F157FC">
              <w:rPr>
                <w:b/>
              </w:rPr>
              <w:t>222</w:t>
            </w:r>
          </w:p>
        </w:tc>
      </w:tr>
      <w:tr w:rsidR="006E5723" w:rsidRPr="00172410" w:rsidTr="004518D1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</w:pPr>
            <w:r w:rsidRPr="00172410">
              <w:t>Median age, years (range)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50.5 (18–82)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56.5 (20–81)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54</w:t>
            </w:r>
            <w:r w:rsidR="001C41D7">
              <w:t>.0</w:t>
            </w:r>
            <w:r w:rsidRPr="00172410">
              <w:t xml:space="preserve"> (18–82)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</w:pPr>
            <w:r w:rsidRPr="00172410">
              <w:t>Gender, female, n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62 (55)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64 (58)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126 (57)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</w:pPr>
            <w:r w:rsidRPr="00172410">
              <w:t>Race, n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White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72 (64)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76 (69)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148 (67)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Asian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39 (35)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30 (27)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69 (31)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Other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4 (4)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5 (2)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</w:pPr>
            <w:r w:rsidRPr="00172410">
              <w:t>ECOG performance status, n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34 (30)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45 (41)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79 (36)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71 (63)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56 (51)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127 (57)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7 (6)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9 (8)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16 (7)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</w:pPr>
            <w:r w:rsidRPr="00172410">
              <w:t>Smoking history, n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Del="00F50163" w:rsidRDefault="006E5723" w:rsidP="004518D1">
            <w:pPr>
              <w:spacing w:before="60" w:line="360" w:lineRule="auto"/>
              <w:ind w:left="288"/>
            </w:pPr>
            <w:r w:rsidRPr="00172410">
              <w:lastRenderedPageBreak/>
              <w:t>Never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71 (63)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63 (57)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134 (60)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Del="005869CE" w:rsidRDefault="006E5723" w:rsidP="004518D1">
            <w:pPr>
              <w:spacing w:before="60" w:line="360" w:lineRule="auto"/>
              <w:ind w:left="288"/>
            </w:pPr>
            <w:r w:rsidRPr="00172410">
              <w:t>Former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Del="005869CE" w:rsidRDefault="006E5723" w:rsidP="004518D1">
            <w:pPr>
              <w:spacing w:before="60" w:line="360" w:lineRule="auto"/>
              <w:jc w:val="center"/>
            </w:pPr>
            <w:r w:rsidRPr="00172410">
              <w:t>34 (30)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Del="005869CE" w:rsidRDefault="006E5723" w:rsidP="004518D1">
            <w:pPr>
              <w:spacing w:before="60" w:line="360" w:lineRule="auto"/>
              <w:jc w:val="center"/>
            </w:pPr>
            <w:r w:rsidRPr="00172410">
              <w:t>43 (39)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77 (35)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Current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6 (5)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4 (4)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10 (5)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Unknown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(&lt;1)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</w:pPr>
            <w:r w:rsidRPr="00172410">
              <w:t>Histology, n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C15F15" w:rsidRDefault="006E5723" w:rsidP="004518D1">
            <w:pPr>
              <w:spacing w:before="60" w:line="360" w:lineRule="auto"/>
              <w:jc w:val="center"/>
              <w:rPr>
                <w:highlight w:val="yellow"/>
              </w:rPr>
            </w:pP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Adenocarcinoma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107 (96)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108 (98)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215 (97)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proofErr w:type="spellStart"/>
            <w:r w:rsidRPr="00172410">
              <w:t>Adenosquamous</w:t>
            </w:r>
            <w:proofErr w:type="spellEnd"/>
            <w:r w:rsidRPr="00172410">
              <w:t xml:space="preserve"> carcinoma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(&lt;1)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Squamous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2 (2)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3 (1)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r w:rsidRPr="00172410">
              <w:t>Large cell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2 (1)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72410" w:rsidRDefault="006E5723" w:rsidP="004518D1">
            <w:pPr>
              <w:spacing w:before="60" w:line="360" w:lineRule="auto"/>
              <w:ind w:left="288"/>
            </w:pPr>
            <w:proofErr w:type="spellStart"/>
            <w:r w:rsidRPr="00172410">
              <w:t>Mucoepidermoid</w:t>
            </w:r>
            <w:proofErr w:type="spellEnd"/>
            <w:r w:rsidRPr="00172410">
              <w:t xml:space="preserve"> carcinoma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 (&lt;1)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D41E5A" w:rsidRDefault="006E5723" w:rsidP="004518D1">
            <w:pPr>
              <w:spacing w:before="60" w:line="360" w:lineRule="auto"/>
              <w:rPr>
                <w:lang w:val="pt-BR"/>
              </w:rPr>
            </w:pPr>
            <w:r w:rsidRPr="00D41E5A">
              <w:rPr>
                <w:lang w:val="pt-BR"/>
              </w:rPr>
              <w:t>Baseline brain metastases,</w:t>
            </w:r>
            <w:r w:rsidRPr="00D41E5A">
              <w:rPr>
                <w:vertAlign w:val="superscript"/>
                <w:lang w:val="pt-BR"/>
              </w:rPr>
              <w:t>b</w:t>
            </w:r>
            <w:r w:rsidRPr="00D41E5A">
              <w:rPr>
                <w:lang w:val="pt-BR"/>
              </w:rPr>
              <w:t xml:space="preserve"> n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80 (71)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74 (67)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72410" w:rsidRDefault="006E5723" w:rsidP="004518D1">
            <w:pPr>
              <w:spacing w:before="60" w:line="360" w:lineRule="auto"/>
              <w:jc w:val="center"/>
            </w:pPr>
            <w:r w:rsidRPr="00172410">
              <w:t>154 (69)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8512BE" w:rsidRDefault="006E5723" w:rsidP="004518D1">
            <w:pPr>
              <w:spacing w:before="60" w:line="360" w:lineRule="auto"/>
            </w:pPr>
            <w:r w:rsidRPr="008512BE">
              <w:t>Prior chemotherapy, n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8512BE" w:rsidRDefault="006E5723" w:rsidP="004518D1">
            <w:pPr>
              <w:spacing w:before="60" w:line="360" w:lineRule="auto"/>
              <w:jc w:val="center"/>
            </w:pPr>
            <w:r w:rsidRPr="008512BE">
              <w:t>83 (74)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8512BE" w:rsidRDefault="006E5723" w:rsidP="004518D1">
            <w:pPr>
              <w:spacing w:before="60" w:line="360" w:lineRule="auto"/>
              <w:jc w:val="center"/>
            </w:pPr>
            <w:r w:rsidRPr="008512BE">
              <w:t>81 (74)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8512BE" w:rsidRDefault="006E5723" w:rsidP="004518D1">
            <w:pPr>
              <w:spacing w:before="60" w:line="360" w:lineRule="auto"/>
              <w:jc w:val="center"/>
            </w:pPr>
            <w:r w:rsidRPr="008512BE">
              <w:t>164 (74)</w:t>
            </w:r>
          </w:p>
        </w:tc>
      </w:tr>
      <w:tr w:rsidR="006E5723" w:rsidRPr="00EB0578" w:rsidTr="004518D1">
        <w:tc>
          <w:tcPr>
            <w:tcW w:w="3168" w:type="dxa"/>
            <w:shd w:val="clear" w:color="auto" w:fill="auto"/>
          </w:tcPr>
          <w:p w:rsidR="006E5723" w:rsidRPr="008512BE" w:rsidRDefault="006E5723" w:rsidP="004518D1">
            <w:pPr>
              <w:spacing w:before="60" w:line="360" w:lineRule="auto"/>
            </w:pPr>
            <w:r w:rsidRPr="008512BE">
              <w:t xml:space="preserve">Best response to prior </w:t>
            </w:r>
            <w:proofErr w:type="spellStart"/>
            <w:r w:rsidRPr="008512BE">
              <w:t>crizotinib</w:t>
            </w:r>
            <w:proofErr w:type="gramStart"/>
            <w:r w:rsidRPr="008512BE">
              <w:t>,</w:t>
            </w:r>
            <w:r w:rsidRPr="008512BE">
              <w:rPr>
                <w:vertAlign w:val="superscript"/>
              </w:rPr>
              <w:t>b</w:t>
            </w:r>
            <w:proofErr w:type="spellEnd"/>
            <w:proofErr w:type="gramEnd"/>
            <w:r w:rsidRPr="008512BE">
              <w:t xml:space="preserve"> n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</w:p>
        </w:tc>
      </w:tr>
      <w:tr w:rsidR="006E5723" w:rsidRPr="00EB0578" w:rsidTr="004518D1">
        <w:tc>
          <w:tcPr>
            <w:tcW w:w="3168" w:type="dxa"/>
            <w:shd w:val="clear" w:color="auto" w:fill="auto"/>
          </w:tcPr>
          <w:p w:rsidR="006E5723" w:rsidRPr="008512BE" w:rsidRDefault="006E5723" w:rsidP="004518D1">
            <w:pPr>
              <w:spacing w:before="60" w:line="360" w:lineRule="auto"/>
              <w:ind w:left="288"/>
            </w:pPr>
            <w:r w:rsidRPr="008512BE">
              <w:t>CR or PR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8512BE" w:rsidRDefault="006E5723" w:rsidP="004518D1">
            <w:pPr>
              <w:spacing w:before="60" w:line="360" w:lineRule="auto"/>
              <w:jc w:val="center"/>
            </w:pPr>
            <w:r w:rsidRPr="008512BE">
              <w:t>71 (63)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8512BE" w:rsidRDefault="006E5723" w:rsidP="004518D1">
            <w:pPr>
              <w:spacing w:before="60" w:line="360" w:lineRule="auto"/>
              <w:jc w:val="center"/>
            </w:pPr>
            <w:r w:rsidRPr="008512BE">
              <w:t>73 (66)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7E78D5" w:rsidRDefault="006E5723" w:rsidP="004518D1">
            <w:pPr>
              <w:spacing w:before="60" w:line="360" w:lineRule="auto"/>
              <w:jc w:val="center"/>
            </w:pPr>
            <w:r w:rsidRPr="007E78D5">
              <w:t>144 (65)</w:t>
            </w:r>
          </w:p>
        </w:tc>
      </w:tr>
      <w:tr w:rsidR="006E5723" w:rsidRPr="00EB0578" w:rsidTr="004518D1">
        <w:tc>
          <w:tcPr>
            <w:tcW w:w="3168" w:type="dxa"/>
            <w:shd w:val="clear" w:color="auto" w:fill="auto"/>
          </w:tcPr>
          <w:p w:rsidR="006E5723" w:rsidRPr="007E78D5" w:rsidRDefault="006E5723" w:rsidP="004518D1">
            <w:pPr>
              <w:spacing w:before="60" w:line="360" w:lineRule="auto"/>
              <w:ind w:left="288"/>
            </w:pPr>
            <w:r w:rsidRPr="007E78D5">
              <w:t>SD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D25E1F" w:rsidRDefault="006E5723" w:rsidP="004518D1">
            <w:pPr>
              <w:spacing w:before="60" w:line="360" w:lineRule="auto"/>
              <w:jc w:val="center"/>
            </w:pPr>
            <w:r w:rsidRPr="00D25E1F">
              <w:t>28 (25)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21 (19)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49 (22)</w:t>
            </w:r>
          </w:p>
        </w:tc>
      </w:tr>
      <w:tr w:rsidR="006E5723" w:rsidRPr="00EB0578" w:rsidTr="004518D1">
        <w:tc>
          <w:tcPr>
            <w:tcW w:w="3168" w:type="dxa"/>
            <w:shd w:val="clear" w:color="auto" w:fill="auto"/>
          </w:tcPr>
          <w:p w:rsidR="006E5723" w:rsidRPr="007E78D5" w:rsidRDefault="006E5723" w:rsidP="004518D1">
            <w:pPr>
              <w:spacing w:before="60" w:line="360" w:lineRule="auto"/>
              <w:ind w:left="288"/>
            </w:pPr>
            <w:r w:rsidRPr="007E78D5">
              <w:t>PD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7E78D5" w:rsidRDefault="006E5723" w:rsidP="004518D1">
            <w:pPr>
              <w:spacing w:before="60" w:line="360" w:lineRule="auto"/>
              <w:jc w:val="center"/>
            </w:pPr>
            <w:r w:rsidRPr="007E78D5">
              <w:t>8 (7)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7E78D5" w:rsidRDefault="006E5723" w:rsidP="004518D1">
            <w:pPr>
              <w:spacing w:before="60" w:line="360" w:lineRule="auto"/>
              <w:jc w:val="center"/>
            </w:pPr>
            <w:r w:rsidRPr="007E78D5">
              <w:t>6 (5)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7E78D5" w:rsidRDefault="006E5723" w:rsidP="004518D1">
            <w:pPr>
              <w:spacing w:before="60" w:line="360" w:lineRule="auto"/>
              <w:jc w:val="center"/>
            </w:pPr>
            <w:r w:rsidRPr="007E78D5">
              <w:t>14 (6)</w:t>
            </w:r>
          </w:p>
        </w:tc>
      </w:tr>
      <w:tr w:rsidR="006E5723" w:rsidRPr="00EB0578" w:rsidTr="004518D1">
        <w:tc>
          <w:tcPr>
            <w:tcW w:w="3168" w:type="dxa"/>
            <w:shd w:val="clear" w:color="auto" w:fill="auto"/>
          </w:tcPr>
          <w:p w:rsidR="006E5723" w:rsidRPr="007E78D5" w:rsidRDefault="006E5723" w:rsidP="004518D1">
            <w:pPr>
              <w:spacing w:before="60" w:line="360" w:lineRule="auto"/>
              <w:ind w:left="288"/>
            </w:pPr>
            <w:r w:rsidRPr="007E78D5">
              <w:t>Unknown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7E78D5" w:rsidRDefault="006E5723" w:rsidP="004518D1">
            <w:pPr>
              <w:spacing w:before="60" w:line="360" w:lineRule="auto"/>
              <w:jc w:val="center"/>
            </w:pPr>
            <w:r w:rsidRPr="007E78D5">
              <w:t>5 (4)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D25E1F" w:rsidRDefault="006E5723" w:rsidP="004518D1">
            <w:pPr>
              <w:spacing w:before="60" w:line="360" w:lineRule="auto"/>
              <w:jc w:val="center"/>
            </w:pPr>
            <w:r w:rsidRPr="00D25E1F">
              <w:t>10 (9)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15 (7)</w:t>
            </w:r>
          </w:p>
        </w:tc>
      </w:tr>
      <w:tr w:rsidR="006E5723" w:rsidRPr="003352C7" w:rsidTr="004518D1">
        <w:tc>
          <w:tcPr>
            <w:tcW w:w="3168" w:type="dxa"/>
            <w:shd w:val="clear" w:color="auto" w:fill="auto"/>
          </w:tcPr>
          <w:p w:rsidR="006E5723" w:rsidRPr="003352C7" w:rsidRDefault="006E5723" w:rsidP="004518D1">
            <w:pPr>
              <w:spacing w:before="60" w:line="360" w:lineRule="auto"/>
            </w:pPr>
            <w:r w:rsidRPr="001B512A">
              <w:t xml:space="preserve">Median cumulative duration of prior </w:t>
            </w:r>
            <w:proofErr w:type="spellStart"/>
            <w:r w:rsidRPr="001B512A">
              <w:t>crizotinib</w:t>
            </w:r>
            <w:proofErr w:type="spellEnd"/>
            <w:r w:rsidRPr="001B512A">
              <w:t xml:space="preserve"> regimens, months (range)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B512A" w:rsidRDefault="006E5723" w:rsidP="004518D1">
            <w:pPr>
              <w:spacing w:before="60" w:line="360" w:lineRule="auto"/>
              <w:jc w:val="center"/>
            </w:pPr>
            <w:r w:rsidRPr="001B512A">
              <w:t>11.3 (1</w:t>
            </w:r>
            <w:r w:rsidRPr="001B512A">
              <w:rPr>
                <w:rFonts w:cs="Arial"/>
              </w:rPr>
              <w:t>–</w:t>
            </w:r>
            <w:r w:rsidRPr="001B512A">
              <w:t>59)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13.2 (1</w:t>
            </w:r>
            <w:r w:rsidRPr="00EB0578">
              <w:rPr>
                <w:rFonts w:cs="Arial"/>
              </w:rPr>
              <w:t>–</w:t>
            </w:r>
            <w:r w:rsidRPr="00EB0578">
              <w:t>72)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12.6 (1</w:t>
            </w:r>
            <w:r w:rsidRPr="00EB0578">
              <w:rPr>
                <w:rFonts w:cs="Arial"/>
              </w:rPr>
              <w:t>–</w:t>
            </w:r>
            <w:r w:rsidRPr="00EB0578">
              <w:t>72)</w:t>
            </w:r>
          </w:p>
        </w:tc>
      </w:tr>
      <w:tr w:rsidR="006E5723" w:rsidRPr="003352C7" w:rsidTr="004518D1">
        <w:tc>
          <w:tcPr>
            <w:tcW w:w="3168" w:type="dxa"/>
            <w:shd w:val="clear" w:color="auto" w:fill="auto"/>
          </w:tcPr>
          <w:p w:rsidR="006E5723" w:rsidRPr="003352C7" w:rsidRDefault="006E5723" w:rsidP="004518D1">
            <w:pPr>
              <w:spacing w:before="60" w:line="360" w:lineRule="auto"/>
            </w:pPr>
            <w:r w:rsidRPr="00110F42">
              <w:t>Location of target lesions, n (%) of lesions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3352C7" w:rsidRDefault="006E5723" w:rsidP="004518D1">
            <w:pPr>
              <w:spacing w:before="60" w:line="360" w:lineRule="auto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3352C7" w:rsidRDefault="006E5723" w:rsidP="004518D1">
            <w:pPr>
              <w:spacing w:before="60" w:line="360" w:lineRule="auto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3352C7" w:rsidRDefault="006E5723" w:rsidP="004518D1">
            <w:pPr>
              <w:spacing w:before="60" w:line="360" w:lineRule="auto"/>
              <w:jc w:val="center"/>
            </w:pP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10F42" w:rsidRDefault="006E5723" w:rsidP="004518D1">
            <w:pPr>
              <w:tabs>
                <w:tab w:val="clear" w:pos="0"/>
                <w:tab w:val="left" w:pos="270"/>
              </w:tabs>
              <w:spacing w:before="60" w:line="360" w:lineRule="auto"/>
              <w:ind w:left="270"/>
            </w:pPr>
            <w:r w:rsidRPr="00110F42">
              <w:lastRenderedPageBreak/>
              <w:t>Total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10F42" w:rsidRDefault="006E5723" w:rsidP="004518D1">
            <w:pPr>
              <w:spacing w:before="60" w:line="360" w:lineRule="auto"/>
              <w:jc w:val="center"/>
            </w:pPr>
            <w:r w:rsidRPr="00110F42">
              <w:t>n=247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B512A" w:rsidRDefault="006E5723" w:rsidP="004518D1">
            <w:pPr>
              <w:spacing w:before="60" w:line="360" w:lineRule="auto"/>
              <w:jc w:val="center"/>
            </w:pPr>
            <w:r w:rsidRPr="001B512A">
              <w:t>n=204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n=451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10F42" w:rsidRDefault="006E5723" w:rsidP="004518D1">
            <w:pPr>
              <w:tabs>
                <w:tab w:val="clear" w:pos="0"/>
                <w:tab w:val="left" w:pos="270"/>
                <w:tab w:val="left" w:pos="360"/>
              </w:tabs>
              <w:spacing w:before="60" w:line="360" w:lineRule="auto"/>
              <w:ind w:left="270"/>
            </w:pPr>
            <w:r w:rsidRPr="00110F42">
              <w:t>Extracranial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10F42" w:rsidRDefault="006E5723" w:rsidP="004518D1">
            <w:pPr>
              <w:spacing w:before="60" w:line="360" w:lineRule="auto"/>
              <w:jc w:val="center"/>
            </w:pPr>
            <w:r w:rsidRPr="00110F42">
              <w:t>209 (85)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B512A" w:rsidRDefault="006E5723" w:rsidP="004518D1">
            <w:pPr>
              <w:spacing w:before="60" w:line="360" w:lineRule="auto"/>
              <w:jc w:val="center"/>
            </w:pPr>
            <w:r w:rsidRPr="001B512A">
              <w:t>172 (84)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381 (84)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10F42" w:rsidRDefault="006E5723" w:rsidP="004518D1">
            <w:pPr>
              <w:tabs>
                <w:tab w:val="clear" w:pos="0"/>
                <w:tab w:val="left" w:pos="270"/>
                <w:tab w:val="left" w:pos="360"/>
              </w:tabs>
              <w:spacing w:before="60" w:line="360" w:lineRule="auto"/>
              <w:ind w:left="270"/>
            </w:pPr>
            <w:r w:rsidRPr="00110F42">
              <w:t>Intracranial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10F42" w:rsidRDefault="006E5723" w:rsidP="004518D1">
            <w:pPr>
              <w:spacing w:before="60" w:line="360" w:lineRule="auto"/>
              <w:jc w:val="center"/>
            </w:pPr>
            <w:r w:rsidRPr="00110F42">
              <w:t>38 (15)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B512A" w:rsidRDefault="006E5723" w:rsidP="004518D1">
            <w:pPr>
              <w:spacing w:before="60" w:line="360" w:lineRule="auto"/>
              <w:jc w:val="center"/>
            </w:pPr>
            <w:r w:rsidRPr="001B512A">
              <w:t>32 (16)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70 (16)</w:t>
            </w: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10F42" w:rsidRDefault="006E5723" w:rsidP="004518D1">
            <w:pPr>
              <w:tabs>
                <w:tab w:val="clear" w:pos="0"/>
                <w:tab w:val="left" w:pos="360"/>
              </w:tabs>
              <w:spacing w:before="60" w:line="360" w:lineRule="auto"/>
            </w:pPr>
            <w:r w:rsidRPr="00110F42">
              <w:rPr>
                <w:rFonts w:cs="Arial"/>
              </w:rPr>
              <w:t>≥1</w:t>
            </w:r>
            <w:r w:rsidRPr="00110F42">
              <w:t xml:space="preserve"> baseline CNS target lesion, n (%) of patients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10F42" w:rsidRDefault="006E5723" w:rsidP="004518D1">
            <w:pPr>
              <w:spacing w:before="60" w:line="360" w:lineRule="auto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B512A" w:rsidRDefault="006E5723" w:rsidP="004518D1">
            <w:pPr>
              <w:spacing w:before="60" w:line="360" w:lineRule="auto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</w:p>
        </w:tc>
      </w:tr>
      <w:tr w:rsidR="006E5723" w:rsidRPr="00172410" w:rsidTr="004518D1">
        <w:tc>
          <w:tcPr>
            <w:tcW w:w="3168" w:type="dxa"/>
            <w:shd w:val="clear" w:color="auto" w:fill="auto"/>
          </w:tcPr>
          <w:p w:rsidR="006E5723" w:rsidRPr="00110F42" w:rsidRDefault="006E5723" w:rsidP="004518D1">
            <w:pPr>
              <w:tabs>
                <w:tab w:val="clear" w:pos="0"/>
                <w:tab w:val="left" w:pos="360"/>
              </w:tabs>
              <w:spacing w:before="60" w:line="360" w:lineRule="auto"/>
              <w:ind w:left="270"/>
              <w:rPr>
                <w:rFonts w:cs="Arial"/>
              </w:rPr>
            </w:pPr>
            <w:r w:rsidRPr="00110F42">
              <w:rPr>
                <w:rFonts w:cs="Arial"/>
              </w:rPr>
              <w:t>No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10F42" w:rsidRDefault="006E5723" w:rsidP="004518D1">
            <w:pPr>
              <w:spacing w:before="60" w:line="360" w:lineRule="auto"/>
              <w:jc w:val="center"/>
            </w:pPr>
            <w:r w:rsidRPr="00110F42">
              <w:t>84 (75)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1B512A" w:rsidRDefault="006E5723" w:rsidP="004518D1">
            <w:pPr>
              <w:spacing w:before="60" w:line="360" w:lineRule="auto"/>
              <w:jc w:val="center"/>
            </w:pPr>
            <w:r w:rsidRPr="001B512A">
              <w:t>87 (79)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171 (77)</w:t>
            </w:r>
          </w:p>
        </w:tc>
      </w:tr>
      <w:tr w:rsidR="006E5723" w:rsidRPr="00172410" w:rsidTr="004518D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6E5723" w:rsidRPr="00110F42" w:rsidRDefault="006E5723" w:rsidP="004518D1">
            <w:pPr>
              <w:tabs>
                <w:tab w:val="clear" w:pos="0"/>
                <w:tab w:val="left" w:pos="360"/>
              </w:tabs>
              <w:spacing w:before="60" w:line="360" w:lineRule="auto"/>
              <w:ind w:left="270"/>
              <w:rPr>
                <w:rFonts w:cs="Arial"/>
              </w:rPr>
            </w:pPr>
            <w:r w:rsidRPr="00110F42">
              <w:rPr>
                <w:rFonts w:cs="Arial"/>
              </w:rPr>
              <w:t xml:space="preserve">Yes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723" w:rsidRPr="00110F42" w:rsidRDefault="006E5723" w:rsidP="004518D1">
            <w:pPr>
              <w:spacing w:before="60" w:line="360" w:lineRule="auto"/>
              <w:jc w:val="center"/>
            </w:pPr>
            <w:r w:rsidRPr="00110F42">
              <w:t>28 (25)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723" w:rsidRPr="001B512A" w:rsidRDefault="006E5723" w:rsidP="004518D1">
            <w:pPr>
              <w:spacing w:before="60" w:line="360" w:lineRule="auto"/>
              <w:jc w:val="center"/>
            </w:pPr>
            <w:r w:rsidRPr="001B512A">
              <w:t>23 (21)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723" w:rsidRPr="00EB0578" w:rsidRDefault="006E5723" w:rsidP="004518D1">
            <w:pPr>
              <w:spacing w:before="60" w:line="360" w:lineRule="auto"/>
              <w:jc w:val="center"/>
            </w:pPr>
            <w:r w:rsidRPr="00EB0578">
              <w:t>51 (23)</w:t>
            </w:r>
          </w:p>
        </w:tc>
      </w:tr>
    </w:tbl>
    <w:p w:rsidR="006E5723" w:rsidRPr="00110F42" w:rsidRDefault="006E5723" w:rsidP="006E5723">
      <w:pPr>
        <w:spacing w:line="240" w:lineRule="auto"/>
      </w:pPr>
      <w:r w:rsidRPr="00110F42">
        <w:t>Abbreviations: CR, complete response; ECOG, Eastern Cooperative Oncology Group; PD, progressive disease; PR, partial response; SD, stable disease.</w:t>
      </w:r>
    </w:p>
    <w:p w:rsidR="006E5723" w:rsidRPr="00B3124F" w:rsidRDefault="006E5723" w:rsidP="006E5723">
      <w:pPr>
        <w:tabs>
          <w:tab w:val="left" w:pos="8295"/>
        </w:tabs>
        <w:spacing w:line="240" w:lineRule="auto"/>
      </w:pPr>
      <w:proofErr w:type="gramStart"/>
      <w:r w:rsidRPr="008512BE">
        <w:rPr>
          <w:vertAlign w:val="superscript"/>
        </w:rPr>
        <w:t>a</w:t>
      </w:r>
      <w:r w:rsidRPr="008512BE">
        <w:t>180</w:t>
      </w:r>
      <w:proofErr w:type="gramEnd"/>
      <w:r w:rsidRPr="008512BE">
        <w:t xml:space="preserve"> mg </w:t>
      </w:r>
      <w:r w:rsidR="00FB3038">
        <w:t>once daily</w:t>
      </w:r>
      <w:r w:rsidR="00FB3038" w:rsidRPr="008512BE">
        <w:t xml:space="preserve"> </w:t>
      </w:r>
      <w:r w:rsidRPr="008512BE">
        <w:t>with 7-day lead-in at 90 mg.</w:t>
      </w:r>
    </w:p>
    <w:p w:rsidR="006E5723" w:rsidRDefault="006E5723" w:rsidP="006E5723">
      <w:pPr>
        <w:rPr>
          <w:rFonts w:cs="Arial"/>
        </w:rPr>
      </w:pPr>
      <w:proofErr w:type="spellStart"/>
      <w:proofErr w:type="gramStart"/>
      <w:r w:rsidRPr="00B3124F">
        <w:rPr>
          <w:vertAlign w:val="superscript"/>
        </w:rPr>
        <w:t>b</w:t>
      </w:r>
      <w:r w:rsidRPr="00B3124F">
        <w:rPr>
          <w:rFonts w:cs="Arial"/>
        </w:rPr>
        <w:t>As</w:t>
      </w:r>
      <w:proofErr w:type="spellEnd"/>
      <w:proofErr w:type="gramEnd"/>
      <w:r w:rsidRPr="00B3124F">
        <w:rPr>
          <w:rFonts w:cs="Arial"/>
        </w:rPr>
        <w:t xml:space="preserve"> assessed by the investigator.</w:t>
      </w:r>
    </w:p>
    <w:p w:rsidR="006E5723" w:rsidRDefault="006E5723" w:rsidP="006E5723">
      <w:r>
        <w:rPr>
          <w:rFonts w:cs="Arial"/>
        </w:rPr>
        <w:t>Reference</w:t>
      </w:r>
    </w:p>
    <w:p w:rsidR="006E5723" w:rsidRPr="00F80EB0" w:rsidRDefault="006E5723" w:rsidP="006E5723">
      <w:pPr>
        <w:pStyle w:val="ListParagraph"/>
        <w:numPr>
          <w:ilvl w:val="0"/>
          <w:numId w:val="5"/>
        </w:numPr>
        <w:tabs>
          <w:tab w:val="clear" w:pos="0"/>
        </w:tabs>
        <w:spacing w:line="240" w:lineRule="auto"/>
        <w:ind w:left="360"/>
        <w:outlineLvl w:val="9"/>
        <w:rPr>
          <w:rFonts w:cs="Arial"/>
          <w:b/>
        </w:rPr>
      </w:pPr>
      <w:r w:rsidRPr="00444601">
        <w:t xml:space="preserve">Kim DW, Tiseo M, </w:t>
      </w:r>
      <w:proofErr w:type="spellStart"/>
      <w:r w:rsidRPr="00444601">
        <w:t>Ahn</w:t>
      </w:r>
      <w:proofErr w:type="spellEnd"/>
      <w:r w:rsidRPr="00444601">
        <w:t xml:space="preserve"> MJ, et al. </w:t>
      </w:r>
      <w:proofErr w:type="spellStart"/>
      <w:r w:rsidRPr="00444601">
        <w:t>Brigatinib</w:t>
      </w:r>
      <w:proofErr w:type="spellEnd"/>
      <w:r w:rsidRPr="00444601">
        <w:t xml:space="preserve"> in patients with </w:t>
      </w:r>
      <w:proofErr w:type="spellStart"/>
      <w:r w:rsidRPr="00444601">
        <w:t>crizotinib</w:t>
      </w:r>
      <w:proofErr w:type="spellEnd"/>
      <w:r w:rsidRPr="00444601">
        <w:t xml:space="preserve">-refractory anaplastic lymphoma kinase-positive non-small-cell lung cancer: a randomized, multicenter phase II trial. </w:t>
      </w:r>
      <w:r w:rsidRPr="00F80EB0">
        <w:rPr>
          <w:i/>
        </w:rPr>
        <w:t xml:space="preserve">J </w:t>
      </w:r>
      <w:proofErr w:type="spellStart"/>
      <w:r w:rsidRPr="00F80EB0">
        <w:rPr>
          <w:i/>
        </w:rPr>
        <w:t>Clin</w:t>
      </w:r>
      <w:proofErr w:type="spellEnd"/>
      <w:r w:rsidRPr="00F80EB0">
        <w:rPr>
          <w:i/>
        </w:rPr>
        <w:t xml:space="preserve"> </w:t>
      </w:r>
      <w:proofErr w:type="spellStart"/>
      <w:r w:rsidRPr="00F80EB0">
        <w:rPr>
          <w:i/>
        </w:rPr>
        <w:t>Oncol</w:t>
      </w:r>
      <w:proofErr w:type="spellEnd"/>
      <w:r w:rsidRPr="00F80EB0">
        <w:rPr>
          <w:i/>
        </w:rPr>
        <w:t xml:space="preserve">. </w:t>
      </w:r>
      <w:r w:rsidRPr="00444601">
        <w:t>2017</w:t>
      </w:r>
      <w:proofErr w:type="gramStart"/>
      <w:r w:rsidRPr="00444601">
        <w:t>;35</w:t>
      </w:r>
      <w:proofErr w:type="gramEnd"/>
      <w:r w:rsidRPr="00444601">
        <w:t>(22):2490-2498</w:t>
      </w:r>
      <w:r>
        <w:t>.</w:t>
      </w:r>
      <w:r w:rsidRPr="00F80EB0">
        <w:rPr>
          <w:rFonts w:cs="Arial"/>
          <w:b/>
        </w:rPr>
        <w:br w:type="page"/>
      </w:r>
    </w:p>
    <w:p w:rsidR="006E5723" w:rsidRPr="006D349E" w:rsidRDefault="006E5723" w:rsidP="006E5723">
      <w:pPr>
        <w:spacing w:after="200" w:line="276" w:lineRule="auto"/>
        <w:rPr>
          <w:rFonts w:cs="Arial"/>
        </w:rPr>
      </w:pPr>
      <w:r w:rsidRPr="006D349E">
        <w:rPr>
          <w:rFonts w:cs="Arial"/>
          <w:b/>
        </w:rPr>
        <w:lastRenderedPageBreak/>
        <w:t xml:space="preserve">Table </w:t>
      </w:r>
      <w:r>
        <w:rPr>
          <w:rFonts w:cs="Arial"/>
          <w:b/>
        </w:rPr>
        <w:t>S2</w:t>
      </w:r>
      <w:r w:rsidRPr="00557DF5">
        <w:rPr>
          <w:rFonts w:cs="Arial"/>
          <w:b/>
        </w:rPr>
        <w:t>.</w:t>
      </w:r>
      <w:r w:rsidRPr="006D349E">
        <w:rPr>
          <w:rFonts w:cs="Arial"/>
        </w:rPr>
        <w:t xml:space="preserve"> </w:t>
      </w:r>
      <w:proofErr w:type="gramStart"/>
      <w:r w:rsidRPr="006D349E">
        <w:rPr>
          <w:rFonts w:cs="Arial"/>
        </w:rPr>
        <w:t xml:space="preserve">Multivariable </w:t>
      </w:r>
      <w:proofErr w:type="spellStart"/>
      <w:r w:rsidRPr="006D349E">
        <w:rPr>
          <w:rFonts w:cs="Arial"/>
        </w:rPr>
        <w:t>Analyses</w:t>
      </w:r>
      <w:r w:rsidRPr="006D349E">
        <w:rPr>
          <w:rFonts w:cs="Arial"/>
          <w:vertAlign w:val="superscript"/>
        </w:rPr>
        <w:t>a</w:t>
      </w:r>
      <w:proofErr w:type="spellEnd"/>
      <w:r w:rsidRPr="006D349E">
        <w:rPr>
          <w:rFonts w:cs="Arial"/>
        </w:rPr>
        <w:t xml:space="preserve"> of PFS and OS in Patients With ≥1 Evaluable Response Assessment.</w:t>
      </w:r>
      <w:proofErr w:type="gramEnd"/>
    </w:p>
    <w:tbl>
      <w:tblPr>
        <w:tblW w:w="93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2"/>
        <w:gridCol w:w="2010"/>
        <w:gridCol w:w="1950"/>
        <w:gridCol w:w="60"/>
        <w:gridCol w:w="2010"/>
      </w:tblGrid>
      <w:tr w:rsidR="006E5723" w:rsidRPr="006D349E" w:rsidTr="004518D1">
        <w:trPr>
          <w:trHeight w:val="263"/>
        </w:trPr>
        <w:tc>
          <w:tcPr>
            <w:tcW w:w="33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D349E">
              <w:rPr>
                <w:rFonts w:cs="Arial"/>
                <w:b/>
                <w:bCs/>
                <w:sz w:val="22"/>
                <w:szCs w:val="22"/>
              </w:rPr>
              <w:t>Hazard Ratio (95% CI)</w:t>
            </w:r>
          </w:p>
        </w:tc>
      </w:tr>
      <w:tr w:rsidR="006E5723" w:rsidRPr="006D349E" w:rsidTr="004518D1">
        <w:trPr>
          <w:trHeight w:val="70"/>
        </w:trPr>
        <w:tc>
          <w:tcPr>
            <w:tcW w:w="33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D349E">
              <w:rPr>
                <w:rFonts w:cs="Arial"/>
                <w:b/>
                <w:bCs/>
                <w:sz w:val="22"/>
                <w:szCs w:val="22"/>
              </w:rPr>
              <w:t xml:space="preserve">PFS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E5723" w:rsidRPr="006D349E" w:rsidTr="004518D1">
        <w:trPr>
          <w:trHeight w:val="506"/>
        </w:trPr>
        <w:tc>
          <w:tcPr>
            <w:tcW w:w="3352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b/>
                <w:bCs/>
                <w:sz w:val="22"/>
                <w:szCs w:val="22"/>
              </w:rPr>
              <w:t>Investigator Assessed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D349E">
              <w:rPr>
                <w:rFonts w:cs="Arial"/>
                <w:b/>
                <w:bCs/>
                <w:sz w:val="22"/>
                <w:szCs w:val="22"/>
              </w:rPr>
              <w:t>IRC Assessed</w:t>
            </w:r>
            <w:r w:rsidRPr="006D349E" w:rsidDel="005A669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6D349E">
              <w:rPr>
                <w:rFonts w:cs="Arial"/>
                <w:b/>
                <w:bCs/>
                <w:sz w:val="22"/>
                <w:szCs w:val="22"/>
              </w:rPr>
              <w:t>OS</w:t>
            </w:r>
            <w:r w:rsidRPr="006D349E">
              <w:rPr>
                <w:rFonts w:cs="Arial"/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6E5723" w:rsidRPr="006D349E" w:rsidTr="004518D1">
        <w:trPr>
          <w:trHeight w:val="363"/>
        </w:trPr>
        <w:tc>
          <w:tcPr>
            <w:tcW w:w="9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b/>
                <w:bCs/>
                <w:sz w:val="22"/>
                <w:szCs w:val="22"/>
              </w:rPr>
              <w:t>Best target lesion shrinkage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None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1–25%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0.53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(0.27–1.04)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0.19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(0.04–0.93)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0.55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(0.25–1.22)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26–50%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0.47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(0.25–0.89)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0.08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(0.02–0.39)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0.38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(0.17–0.84)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51–75%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0.43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(0.22–0.83)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0.07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(0.01–0.33)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0.42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(0.19–0.95)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76–100%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0.31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(0.16–0.62)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0.09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(0.02–0.43)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0.33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(0.14–0.77)</w:t>
            </w:r>
          </w:p>
        </w:tc>
      </w:tr>
      <w:tr w:rsidR="006E5723" w:rsidRPr="006D349E" w:rsidTr="004518D1">
        <w:trPr>
          <w:trHeight w:val="363"/>
        </w:trPr>
        <w:tc>
          <w:tcPr>
            <w:tcW w:w="9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b/>
                <w:bCs/>
                <w:sz w:val="22"/>
                <w:szCs w:val="22"/>
              </w:rPr>
              <w:t>Treatment arm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tabs>
                <w:tab w:val="clear" w:pos="0"/>
                <w:tab w:val="left" w:pos="360"/>
              </w:tabs>
              <w:spacing w:before="60" w:after="60"/>
              <w:ind w:left="3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Arm A (90 mg </w:t>
            </w:r>
            <w:r w:rsidR="00FB3038" w:rsidRPr="008C6648">
              <w:rPr>
                <w:sz w:val="22"/>
              </w:rPr>
              <w:t>once daily</w:t>
            </w:r>
            <w:r w:rsidRPr="006D349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</w:tr>
      <w:tr w:rsidR="006E5723" w:rsidRPr="00B632C5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tabs>
                <w:tab w:val="clear" w:pos="0"/>
                <w:tab w:val="left" w:pos="360"/>
              </w:tabs>
              <w:spacing w:before="60" w:after="60"/>
              <w:ind w:left="3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Arm B (90 mg → 180 mg </w:t>
            </w:r>
            <w:r w:rsidR="00FB3038" w:rsidRPr="008C6648">
              <w:rPr>
                <w:sz w:val="22"/>
              </w:rPr>
              <w:t>once daily</w:t>
            </w:r>
            <w:r w:rsidRPr="006D349E">
              <w:rPr>
                <w:rFonts w:cs="Arial"/>
                <w:sz w:val="22"/>
                <w:szCs w:val="22"/>
              </w:rPr>
              <w:t>)</w:t>
            </w:r>
            <w:r w:rsidRPr="006D349E">
              <w:rPr>
                <w:rFonts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0.76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(0.54–1.07)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0.81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(0.55–1.18)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0.73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(0.46–1.15)</w:t>
            </w:r>
          </w:p>
        </w:tc>
      </w:tr>
      <w:tr w:rsidR="006E5723" w:rsidRPr="006D349E" w:rsidTr="004518D1">
        <w:trPr>
          <w:trHeight w:val="363"/>
        </w:trPr>
        <w:tc>
          <w:tcPr>
            <w:tcW w:w="9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E5723" w:rsidRPr="006D349E" w:rsidRDefault="006E5723" w:rsidP="004518D1">
            <w:pPr>
              <w:keepNext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6D349E">
              <w:rPr>
                <w:rFonts w:cs="Arial"/>
                <w:b/>
                <w:bCs/>
                <w:sz w:val="22"/>
                <w:szCs w:val="22"/>
              </w:rPr>
              <w:lastRenderedPageBreak/>
              <w:t>Baseline ECOG performance status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0–1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1.81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(0.94–3.48)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1.54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(0.71–3.35)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2.01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(0.93</w:t>
            </w:r>
            <w:r w:rsidRPr="006D349E">
              <w:rPr>
                <w:rFonts w:ascii="Calibri" w:hAnsi="Calibri" w:cs="Arial"/>
                <w:sz w:val="22"/>
                <w:szCs w:val="22"/>
              </w:rPr>
              <w:t>–</w:t>
            </w:r>
            <w:r w:rsidRPr="006D349E">
              <w:rPr>
                <w:rFonts w:cs="Arial"/>
                <w:sz w:val="22"/>
                <w:szCs w:val="22"/>
              </w:rPr>
              <w:t>4.33)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b/>
                <w:bCs/>
                <w:sz w:val="22"/>
                <w:szCs w:val="22"/>
              </w:rPr>
              <w:t>Smoking status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Never/unknown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Reference</w:t>
            </w:r>
          </w:p>
        </w:tc>
      </w:tr>
      <w:tr w:rsidR="006E5723" w:rsidRPr="006D349E" w:rsidTr="004518D1">
        <w:trPr>
          <w:trHeight w:val="363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     Current/former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1.46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(1.02–2.08)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0.97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(0.64–1.46)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 xml:space="preserve">1.02 </w:t>
            </w:r>
          </w:p>
          <w:p w:rsidR="006E5723" w:rsidRPr="006D349E" w:rsidRDefault="006E5723" w:rsidP="004518D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D349E">
              <w:rPr>
                <w:rFonts w:cs="Arial"/>
                <w:sz w:val="22"/>
                <w:szCs w:val="22"/>
              </w:rPr>
              <w:t>(0.63–1.65)</w:t>
            </w:r>
          </w:p>
        </w:tc>
      </w:tr>
    </w:tbl>
    <w:p w:rsidR="006E5723" w:rsidRPr="006D349E" w:rsidRDefault="006E5723" w:rsidP="006E5723">
      <w:pPr>
        <w:spacing w:before="60" w:after="60" w:line="240" w:lineRule="auto"/>
        <w:rPr>
          <w:rFonts w:cs="Arial"/>
          <w:sz w:val="22"/>
          <w:szCs w:val="22"/>
        </w:rPr>
      </w:pPr>
      <w:r w:rsidRPr="006D349E">
        <w:rPr>
          <w:rFonts w:cs="Arial"/>
          <w:sz w:val="22"/>
          <w:szCs w:val="22"/>
        </w:rPr>
        <w:t>Abbreviations: OS, overall survival; PFS, progression-free survival.</w:t>
      </w:r>
    </w:p>
    <w:p w:rsidR="006E5723" w:rsidRPr="006D349E" w:rsidRDefault="006E5723" w:rsidP="006E5723">
      <w:pPr>
        <w:spacing w:before="60" w:after="60" w:line="240" w:lineRule="auto"/>
        <w:rPr>
          <w:rFonts w:cs="Arial"/>
          <w:sz w:val="22"/>
          <w:szCs w:val="22"/>
        </w:rPr>
      </w:pPr>
      <w:proofErr w:type="spellStart"/>
      <w:proofErr w:type="gramStart"/>
      <w:r w:rsidRPr="006D349E">
        <w:rPr>
          <w:rFonts w:cs="Arial"/>
          <w:sz w:val="22"/>
          <w:szCs w:val="22"/>
          <w:vertAlign w:val="superscript"/>
        </w:rPr>
        <w:t>a</w:t>
      </w:r>
      <w:r w:rsidRPr="006D349E">
        <w:rPr>
          <w:rFonts w:cs="Arial"/>
          <w:sz w:val="22"/>
          <w:szCs w:val="22"/>
        </w:rPr>
        <w:t>Cox</w:t>
      </w:r>
      <w:proofErr w:type="spellEnd"/>
      <w:proofErr w:type="gramEnd"/>
      <w:r w:rsidRPr="006D349E">
        <w:rPr>
          <w:rFonts w:cs="Arial"/>
          <w:sz w:val="22"/>
          <w:szCs w:val="22"/>
        </w:rPr>
        <w:t xml:space="preserve"> proportional hazards regression model.</w:t>
      </w:r>
    </w:p>
    <w:p w:rsidR="006E5723" w:rsidRPr="006D349E" w:rsidRDefault="006E5723" w:rsidP="006E5723">
      <w:pPr>
        <w:spacing w:line="240" w:lineRule="auto"/>
        <w:rPr>
          <w:rFonts w:eastAsiaTheme="minorEastAsia" w:cs="Arial"/>
          <w:sz w:val="22"/>
          <w:szCs w:val="22"/>
        </w:rPr>
      </w:pPr>
      <w:proofErr w:type="spellStart"/>
      <w:proofErr w:type="gramStart"/>
      <w:r w:rsidRPr="006D349E">
        <w:rPr>
          <w:rFonts w:eastAsiaTheme="minorEastAsia" w:cs="Arial"/>
          <w:sz w:val="22"/>
          <w:szCs w:val="22"/>
          <w:vertAlign w:val="superscript"/>
        </w:rPr>
        <w:t>b</w:t>
      </w:r>
      <w:r w:rsidRPr="006D349E">
        <w:rPr>
          <w:rFonts w:eastAsiaTheme="minorEastAsia" w:cs="Arial"/>
          <w:sz w:val="22"/>
          <w:szCs w:val="22"/>
        </w:rPr>
        <w:t>Shrinkage</w:t>
      </w:r>
      <w:proofErr w:type="spellEnd"/>
      <w:proofErr w:type="gramEnd"/>
      <w:r w:rsidRPr="006D349E">
        <w:rPr>
          <w:rFonts w:eastAsiaTheme="minorEastAsia" w:cs="Arial"/>
          <w:sz w:val="22"/>
          <w:szCs w:val="22"/>
        </w:rPr>
        <w:t xml:space="preserve"> categories based on investigator-assessed shrinkage. </w:t>
      </w:r>
    </w:p>
    <w:p w:rsidR="006E5723" w:rsidRDefault="006E5723" w:rsidP="006E5723">
      <w:pPr>
        <w:spacing w:line="240" w:lineRule="auto"/>
        <w:rPr>
          <w:rFonts w:cs="Arial"/>
        </w:rPr>
      </w:pPr>
      <w:proofErr w:type="gramStart"/>
      <w:r w:rsidRPr="006D349E">
        <w:rPr>
          <w:rFonts w:cs="Arial"/>
          <w:sz w:val="22"/>
          <w:szCs w:val="22"/>
          <w:vertAlign w:val="superscript"/>
        </w:rPr>
        <w:t>c</w:t>
      </w:r>
      <w:r w:rsidRPr="006D349E">
        <w:rPr>
          <w:rFonts w:cs="Arial"/>
          <w:sz w:val="22"/>
          <w:szCs w:val="22"/>
        </w:rPr>
        <w:t>180</w:t>
      </w:r>
      <w:proofErr w:type="gramEnd"/>
      <w:r w:rsidRPr="006D349E">
        <w:rPr>
          <w:rFonts w:cs="Arial"/>
          <w:sz w:val="22"/>
          <w:szCs w:val="22"/>
        </w:rPr>
        <w:t xml:space="preserve"> mg </w:t>
      </w:r>
      <w:r w:rsidR="00FB3038" w:rsidRPr="008C6648">
        <w:rPr>
          <w:sz w:val="22"/>
        </w:rPr>
        <w:t>once daily</w:t>
      </w:r>
      <w:r w:rsidRPr="008C6648">
        <w:rPr>
          <w:rFonts w:cs="Arial"/>
          <w:sz w:val="20"/>
          <w:szCs w:val="22"/>
        </w:rPr>
        <w:t xml:space="preserve"> </w:t>
      </w:r>
      <w:r w:rsidRPr="006D349E">
        <w:rPr>
          <w:rFonts w:cs="Arial"/>
          <w:sz w:val="22"/>
          <w:szCs w:val="22"/>
        </w:rPr>
        <w:t>with 7-day lead-in at 90 mg.</w:t>
      </w:r>
    </w:p>
    <w:p w:rsidR="006E5723" w:rsidRDefault="006E5723" w:rsidP="006E5723">
      <w:pPr>
        <w:tabs>
          <w:tab w:val="clear" w:pos="0"/>
        </w:tabs>
        <w:spacing w:line="240" w:lineRule="auto"/>
        <w:outlineLvl w:val="9"/>
        <w:rPr>
          <w:b/>
        </w:rPr>
      </w:pPr>
      <w:r>
        <w:rPr>
          <w:b/>
        </w:rPr>
        <w:br w:type="page"/>
      </w:r>
    </w:p>
    <w:p w:rsidR="006E5723" w:rsidRDefault="006E5723" w:rsidP="006E5723">
      <w:r w:rsidRPr="00515D8D">
        <w:rPr>
          <w:b/>
        </w:rPr>
        <w:lastRenderedPageBreak/>
        <w:t>Table S</w:t>
      </w:r>
      <w:r>
        <w:rPr>
          <w:b/>
        </w:rPr>
        <w:t>3</w:t>
      </w:r>
      <w:r w:rsidRPr="00557DF5">
        <w:rPr>
          <w:b/>
        </w:rPr>
        <w:t>.</w:t>
      </w:r>
      <w:r>
        <w:t xml:space="preserve"> </w:t>
      </w:r>
      <w:r w:rsidRPr="00B4752F">
        <w:t xml:space="preserve">Adverse Events Leading to Dose </w:t>
      </w:r>
      <w:r>
        <w:t>Reduction</w:t>
      </w:r>
      <w:r w:rsidRPr="00B4752F">
        <w:t xml:space="preserve"> </w:t>
      </w:r>
      <w:r>
        <w:t xml:space="preserve">in </w:t>
      </w:r>
      <w:r>
        <w:rPr>
          <w:rFonts w:cs="Arial"/>
        </w:rPr>
        <w:t>≥</w:t>
      </w:r>
      <w:r>
        <w:t>2 Patients Overall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373"/>
        <w:gridCol w:w="2538"/>
      </w:tblGrid>
      <w:tr w:rsidR="006E5723" w:rsidRPr="0023229B" w:rsidTr="004518D1">
        <w:trPr>
          <w:tblHeader/>
        </w:trPr>
        <w:tc>
          <w:tcPr>
            <w:tcW w:w="24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5723" w:rsidRPr="00515D8D" w:rsidRDefault="006E5723" w:rsidP="004518D1"/>
        </w:tc>
        <w:tc>
          <w:tcPr>
            <w:tcW w:w="12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723" w:rsidRPr="0023229B" w:rsidRDefault="006E5723" w:rsidP="004518D1">
            <w:pPr>
              <w:jc w:val="center"/>
              <w:rPr>
                <w:b/>
              </w:rPr>
            </w:pPr>
            <w:r w:rsidRPr="0023229B">
              <w:rPr>
                <w:b/>
              </w:rPr>
              <w:t>Arm A</w:t>
            </w:r>
            <w:r w:rsidRPr="0023229B">
              <w:rPr>
                <w:b/>
                <w:vertAlign w:val="superscript"/>
              </w:rPr>
              <w:t>a</w:t>
            </w:r>
          </w:p>
          <w:p w:rsidR="006E5723" w:rsidRPr="0023229B" w:rsidRDefault="006E5723" w:rsidP="004518D1">
            <w:pPr>
              <w:jc w:val="center"/>
              <w:rPr>
                <w:b/>
              </w:rPr>
            </w:pPr>
            <w:r w:rsidRPr="0023229B">
              <w:rPr>
                <w:b/>
              </w:rPr>
              <w:t xml:space="preserve">90 mg </w:t>
            </w:r>
            <w:r w:rsidR="00E76518">
              <w:rPr>
                <w:b/>
              </w:rPr>
              <w:br/>
            </w:r>
            <w:r w:rsidR="003507E0" w:rsidRPr="003507E0">
              <w:rPr>
                <w:b/>
              </w:rPr>
              <w:t>O</w:t>
            </w:r>
            <w:r w:rsidR="003507E0" w:rsidRPr="008C6648">
              <w:rPr>
                <w:b/>
              </w:rPr>
              <w:t>nce Daily</w:t>
            </w:r>
          </w:p>
          <w:p w:rsidR="006E5723" w:rsidRPr="0023229B" w:rsidRDefault="006E5723" w:rsidP="004518D1">
            <w:pPr>
              <w:jc w:val="center"/>
            </w:pPr>
            <w:r w:rsidRPr="0023229B">
              <w:rPr>
                <w:b/>
              </w:rPr>
              <w:t>n=109</w:t>
            </w:r>
          </w:p>
        </w:tc>
        <w:tc>
          <w:tcPr>
            <w:tcW w:w="1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723" w:rsidRPr="0023229B" w:rsidRDefault="006E5723" w:rsidP="004518D1">
            <w:pPr>
              <w:jc w:val="center"/>
              <w:rPr>
                <w:b/>
              </w:rPr>
            </w:pPr>
            <w:r w:rsidRPr="0023229B">
              <w:rPr>
                <w:b/>
              </w:rPr>
              <w:t>Arm B</w:t>
            </w:r>
          </w:p>
          <w:p w:rsidR="006E5723" w:rsidRPr="0023229B" w:rsidRDefault="006E5723" w:rsidP="004518D1">
            <w:pPr>
              <w:jc w:val="center"/>
              <w:rPr>
                <w:b/>
              </w:rPr>
            </w:pPr>
            <w:r w:rsidRPr="0023229B">
              <w:rPr>
                <w:b/>
              </w:rPr>
              <w:t xml:space="preserve">90 mg </w:t>
            </w:r>
            <w:r w:rsidRPr="00F157FC">
              <w:rPr>
                <w:b/>
              </w:rPr>
              <w:sym w:font="Wingdings" w:char="F0E0"/>
            </w:r>
          </w:p>
          <w:p w:rsidR="006E5723" w:rsidRPr="0023229B" w:rsidRDefault="006E5723" w:rsidP="004518D1">
            <w:pPr>
              <w:jc w:val="center"/>
              <w:rPr>
                <w:b/>
              </w:rPr>
            </w:pPr>
            <w:r w:rsidRPr="0023229B">
              <w:rPr>
                <w:b/>
              </w:rPr>
              <w:t xml:space="preserve">180 mg </w:t>
            </w:r>
            <w:r w:rsidR="00E76518">
              <w:rPr>
                <w:b/>
              </w:rPr>
              <w:br/>
            </w:r>
            <w:r w:rsidR="003507E0" w:rsidRPr="003507E0">
              <w:rPr>
                <w:b/>
              </w:rPr>
              <w:t>O</w:t>
            </w:r>
            <w:r w:rsidR="003507E0" w:rsidRPr="00A26FC2">
              <w:rPr>
                <w:b/>
              </w:rPr>
              <w:t xml:space="preserve">nce </w:t>
            </w:r>
            <w:proofErr w:type="spellStart"/>
            <w:r w:rsidR="003507E0" w:rsidRPr="00A26FC2">
              <w:rPr>
                <w:b/>
              </w:rPr>
              <w:t>Daily</w:t>
            </w:r>
            <w:r w:rsidRPr="0023229B">
              <w:rPr>
                <w:b/>
                <w:vertAlign w:val="superscript"/>
              </w:rPr>
              <w:t>b</w:t>
            </w:r>
            <w:proofErr w:type="spellEnd"/>
          </w:p>
          <w:p w:rsidR="006E5723" w:rsidRPr="0023229B" w:rsidRDefault="006E5723" w:rsidP="004518D1">
            <w:pPr>
              <w:jc w:val="center"/>
            </w:pPr>
            <w:r w:rsidRPr="0023229B">
              <w:rPr>
                <w:b/>
              </w:rPr>
              <w:t>n=110</w:t>
            </w:r>
          </w:p>
        </w:tc>
      </w:tr>
      <w:tr w:rsidR="006E5723" w:rsidRPr="00E36022" w:rsidTr="004518D1">
        <w:tc>
          <w:tcPr>
            <w:tcW w:w="2436" w:type="pct"/>
            <w:tcBorders>
              <w:top w:val="single" w:sz="12" w:space="0" w:color="auto"/>
            </w:tcBorders>
            <w:shd w:val="clear" w:color="auto" w:fill="auto"/>
          </w:tcPr>
          <w:p w:rsidR="006E5723" w:rsidRPr="00C010E1" w:rsidRDefault="006E5723" w:rsidP="004518D1">
            <w:pPr>
              <w:rPr>
                <w:b/>
              </w:rPr>
            </w:pPr>
            <w:r>
              <w:rPr>
                <w:rFonts w:cs="Arial"/>
                <w:b/>
              </w:rPr>
              <w:t>Patients with ≥</w:t>
            </w:r>
            <w:r>
              <w:rPr>
                <w:b/>
              </w:rPr>
              <w:t xml:space="preserve">1 </w:t>
            </w:r>
            <w:r w:rsidRPr="00C010E1">
              <w:rPr>
                <w:b/>
              </w:rPr>
              <w:t>AE leading to dose reduction</w:t>
            </w:r>
            <w:r>
              <w:rPr>
                <w:b/>
              </w:rPr>
              <w:t>, n (%)</w:t>
            </w:r>
            <w:r w:rsidRPr="00C010E1">
              <w:rPr>
                <w:b/>
              </w:rPr>
              <w:t xml:space="preserve"> </w:t>
            </w:r>
          </w:p>
        </w:tc>
        <w:tc>
          <w:tcPr>
            <w:tcW w:w="1239" w:type="pct"/>
            <w:tcBorders>
              <w:top w:val="single" w:sz="12" w:space="0" w:color="auto"/>
            </w:tcBorders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5E2247">
              <w:rPr>
                <w:color w:val="000000"/>
              </w:rPr>
              <w:t>8 (7.3)</w:t>
            </w:r>
          </w:p>
        </w:tc>
        <w:tc>
          <w:tcPr>
            <w:tcW w:w="1325" w:type="pct"/>
            <w:tcBorders>
              <w:top w:val="single" w:sz="12" w:space="0" w:color="auto"/>
            </w:tcBorders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5E2247">
              <w:rPr>
                <w:color w:val="000000"/>
              </w:rPr>
              <w:t>32 (29.1)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RDefault="006E5723" w:rsidP="004518D1">
            <w:pPr>
              <w:rPr>
                <w:color w:val="000000"/>
              </w:rPr>
            </w:pPr>
            <w:r w:rsidRPr="00C010E1">
              <w:rPr>
                <w:color w:val="000000"/>
              </w:rPr>
              <w:t xml:space="preserve">Blood </w:t>
            </w:r>
            <w:proofErr w:type="spellStart"/>
            <w:r w:rsidRPr="00C010E1">
              <w:rPr>
                <w:color w:val="000000"/>
              </w:rPr>
              <w:t>creatine</w:t>
            </w:r>
            <w:proofErr w:type="spellEnd"/>
            <w:r w:rsidRPr="00C010E1">
              <w:rPr>
                <w:color w:val="000000"/>
              </w:rPr>
              <w:t xml:space="preserve"> phosphokinase increased</w:t>
            </w:r>
          </w:p>
        </w:tc>
        <w:tc>
          <w:tcPr>
            <w:tcW w:w="1239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5E2247">
              <w:rPr>
                <w:color w:val="000000"/>
              </w:rPr>
              <w:t>2 (1.8)</w:t>
            </w:r>
          </w:p>
        </w:tc>
        <w:tc>
          <w:tcPr>
            <w:tcW w:w="1325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E224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6.4</w:t>
            </w:r>
            <w:r w:rsidRPr="005E2247">
              <w:rPr>
                <w:color w:val="000000"/>
              </w:rPr>
              <w:t>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Rash</w:t>
            </w:r>
          </w:p>
        </w:tc>
        <w:tc>
          <w:tcPr>
            <w:tcW w:w="1239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5E2247">
              <w:rPr>
                <w:color w:val="000000"/>
              </w:rPr>
              <w:t>1 (0.9)</w:t>
            </w:r>
          </w:p>
        </w:tc>
        <w:tc>
          <w:tcPr>
            <w:tcW w:w="1325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224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2.7</w:t>
            </w:r>
            <w:r w:rsidRPr="005E2247">
              <w:rPr>
                <w:color w:val="000000"/>
              </w:rPr>
              <w:t>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Lipase increased</w:t>
            </w:r>
          </w:p>
        </w:tc>
        <w:tc>
          <w:tcPr>
            <w:tcW w:w="1239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5E2247">
              <w:rPr>
                <w:color w:val="000000"/>
              </w:rPr>
              <w:t>1 (0.9)</w:t>
            </w:r>
          </w:p>
        </w:tc>
        <w:tc>
          <w:tcPr>
            <w:tcW w:w="1325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5E2247">
              <w:rPr>
                <w:color w:val="000000"/>
              </w:rPr>
              <w:t>2 (1.8)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Del="003C28F0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Decreased appetite</w:t>
            </w:r>
          </w:p>
        </w:tc>
        <w:tc>
          <w:tcPr>
            <w:tcW w:w="1239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5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(1.8)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Del="003C28F0" w:rsidRDefault="006E5723" w:rsidP="000A2357">
            <w:pPr>
              <w:rPr>
                <w:color w:val="000000"/>
              </w:rPr>
            </w:pPr>
            <w:r>
              <w:rPr>
                <w:color w:val="000000"/>
              </w:rPr>
              <w:t xml:space="preserve">Electrocardiogram </w:t>
            </w:r>
            <w:r w:rsidR="000A2357">
              <w:rPr>
                <w:color w:val="000000"/>
              </w:rPr>
              <w:t xml:space="preserve">QT </w:t>
            </w:r>
            <w:r>
              <w:rPr>
                <w:color w:val="000000"/>
              </w:rPr>
              <w:t>prolonged</w:t>
            </w:r>
          </w:p>
        </w:tc>
        <w:tc>
          <w:tcPr>
            <w:tcW w:w="1239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5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(1.8)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Del="003C28F0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Hyponatremia</w:t>
            </w:r>
          </w:p>
        </w:tc>
        <w:tc>
          <w:tcPr>
            <w:tcW w:w="1239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5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(1.8)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Del="003C28F0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Nausea</w:t>
            </w:r>
          </w:p>
        </w:tc>
        <w:tc>
          <w:tcPr>
            <w:tcW w:w="1239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5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(1.8)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Del="003C28F0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Pneumonitis</w:t>
            </w:r>
          </w:p>
        </w:tc>
        <w:tc>
          <w:tcPr>
            <w:tcW w:w="1239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5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(1.8)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Amylase increased</w:t>
            </w:r>
          </w:p>
        </w:tc>
        <w:tc>
          <w:tcPr>
            <w:tcW w:w="1239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5E2247">
              <w:rPr>
                <w:color w:val="000000"/>
              </w:rPr>
              <w:t>1 (0.9)</w:t>
            </w:r>
          </w:p>
        </w:tc>
        <w:tc>
          <w:tcPr>
            <w:tcW w:w="1325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5E2247">
              <w:rPr>
                <w:color w:val="000000"/>
              </w:rPr>
              <w:t>1 (0.9)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Cough</w:t>
            </w:r>
          </w:p>
        </w:tc>
        <w:tc>
          <w:tcPr>
            <w:tcW w:w="1239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E433EE">
              <w:rPr>
                <w:color w:val="000000"/>
              </w:rPr>
              <w:t>1 (0.9)</w:t>
            </w:r>
          </w:p>
        </w:tc>
        <w:tc>
          <w:tcPr>
            <w:tcW w:w="1325" w:type="pct"/>
            <w:shd w:val="clear" w:color="auto" w:fill="auto"/>
          </w:tcPr>
          <w:p w:rsidR="006E5723" w:rsidRPr="005E2247" w:rsidRDefault="006E5723" w:rsidP="004518D1">
            <w:pPr>
              <w:jc w:val="center"/>
              <w:rPr>
                <w:color w:val="000000"/>
              </w:rPr>
            </w:pPr>
            <w:r w:rsidRPr="00E433EE">
              <w:rPr>
                <w:color w:val="000000"/>
              </w:rPr>
              <w:t>1 (0.9)</w:t>
            </w:r>
          </w:p>
        </w:tc>
      </w:tr>
      <w:tr w:rsidR="006E5723" w:rsidRPr="00E36022" w:rsidTr="004518D1">
        <w:tc>
          <w:tcPr>
            <w:tcW w:w="2436" w:type="pct"/>
            <w:shd w:val="clear" w:color="auto" w:fill="auto"/>
          </w:tcPr>
          <w:p w:rsidR="006E5723" w:rsidRPr="00C010E1" w:rsidRDefault="006E5723" w:rsidP="004518D1">
            <w:pPr>
              <w:rPr>
                <w:color w:val="000000"/>
              </w:rPr>
            </w:pPr>
            <w:r>
              <w:rPr>
                <w:color w:val="000000"/>
              </w:rPr>
              <w:t>Hypertension</w:t>
            </w:r>
          </w:p>
        </w:tc>
        <w:tc>
          <w:tcPr>
            <w:tcW w:w="1239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 w:rsidRPr="00E433EE">
              <w:rPr>
                <w:color w:val="000000"/>
              </w:rPr>
              <w:t>1 (0.9)</w:t>
            </w:r>
          </w:p>
        </w:tc>
        <w:tc>
          <w:tcPr>
            <w:tcW w:w="1325" w:type="pct"/>
            <w:shd w:val="clear" w:color="auto" w:fill="auto"/>
          </w:tcPr>
          <w:p w:rsidR="006E5723" w:rsidRPr="002B089A" w:rsidRDefault="006E5723" w:rsidP="004518D1">
            <w:pPr>
              <w:jc w:val="center"/>
              <w:rPr>
                <w:color w:val="000000"/>
              </w:rPr>
            </w:pPr>
            <w:r w:rsidRPr="00E433EE">
              <w:rPr>
                <w:color w:val="000000"/>
              </w:rPr>
              <w:t>1 (0.9)</w:t>
            </w:r>
          </w:p>
        </w:tc>
      </w:tr>
    </w:tbl>
    <w:p w:rsidR="006E5723" w:rsidRPr="006070DD" w:rsidRDefault="006E5723" w:rsidP="006E5723">
      <w:pPr>
        <w:spacing w:line="276" w:lineRule="auto"/>
        <w:rPr>
          <w:sz w:val="22"/>
          <w:szCs w:val="22"/>
        </w:rPr>
      </w:pPr>
      <w:proofErr w:type="spellStart"/>
      <w:proofErr w:type="gramStart"/>
      <w:r w:rsidRPr="00557DF5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For</w:t>
      </w:r>
      <w:proofErr w:type="spellEnd"/>
      <w:proofErr w:type="gramEnd"/>
      <w:r>
        <w:rPr>
          <w:sz w:val="22"/>
          <w:szCs w:val="22"/>
        </w:rPr>
        <w:t xml:space="preserve"> arm A, d</w:t>
      </w:r>
      <w:r w:rsidRPr="006070DD">
        <w:rPr>
          <w:sz w:val="22"/>
          <w:szCs w:val="22"/>
        </w:rPr>
        <w:t xml:space="preserve">ose modification was required for any grade 3 or 4 </w:t>
      </w:r>
      <w:proofErr w:type="spellStart"/>
      <w:r w:rsidRPr="006070DD">
        <w:rPr>
          <w:sz w:val="22"/>
          <w:szCs w:val="22"/>
        </w:rPr>
        <w:t>nonhematologic</w:t>
      </w:r>
      <w:proofErr w:type="spellEnd"/>
      <w:r w:rsidRPr="006070DD">
        <w:rPr>
          <w:sz w:val="22"/>
          <w:szCs w:val="22"/>
        </w:rPr>
        <w:t xml:space="preserve"> toxicity, including laboratory abnormalities.</w:t>
      </w:r>
    </w:p>
    <w:p w:rsidR="006E5723" w:rsidRPr="006070DD" w:rsidRDefault="006E5723" w:rsidP="006E5723">
      <w:pPr>
        <w:pStyle w:val="ListParagraph"/>
        <w:numPr>
          <w:ilvl w:val="0"/>
          <w:numId w:val="1"/>
        </w:numPr>
        <w:tabs>
          <w:tab w:val="clear" w:pos="0"/>
        </w:tabs>
        <w:spacing w:line="276" w:lineRule="auto"/>
        <w:ind w:left="360"/>
        <w:outlineLvl w:val="9"/>
        <w:rPr>
          <w:sz w:val="22"/>
          <w:szCs w:val="22"/>
        </w:rPr>
      </w:pPr>
      <w:r w:rsidRPr="006070DD">
        <w:rPr>
          <w:sz w:val="22"/>
          <w:szCs w:val="22"/>
        </w:rPr>
        <w:t xml:space="preserve">Grade 3: For 90 mg once daily dose, hold until event is grade 1 or lower, or has returned to baseline. Resume at 90 mg </w:t>
      </w:r>
      <w:r w:rsidR="003507E0">
        <w:rPr>
          <w:sz w:val="22"/>
          <w:szCs w:val="22"/>
        </w:rPr>
        <w:t>once daily</w:t>
      </w:r>
      <w:r w:rsidR="003507E0" w:rsidRPr="006070DD">
        <w:rPr>
          <w:sz w:val="22"/>
          <w:szCs w:val="22"/>
        </w:rPr>
        <w:t xml:space="preserve"> </w:t>
      </w:r>
      <w:r w:rsidRPr="006070DD">
        <w:rPr>
          <w:sz w:val="22"/>
          <w:szCs w:val="22"/>
        </w:rPr>
        <w:t xml:space="preserve">or 60 mg </w:t>
      </w:r>
      <w:r w:rsidR="003507E0">
        <w:rPr>
          <w:sz w:val="22"/>
          <w:szCs w:val="22"/>
        </w:rPr>
        <w:t>once daily</w:t>
      </w:r>
      <w:r w:rsidRPr="006070DD">
        <w:rPr>
          <w:sz w:val="22"/>
          <w:szCs w:val="22"/>
        </w:rPr>
        <w:t xml:space="preserve"> (at investigator’s discretion). For recurrence at 90 mg </w:t>
      </w:r>
      <w:r w:rsidR="003507E0">
        <w:rPr>
          <w:sz w:val="22"/>
          <w:szCs w:val="22"/>
        </w:rPr>
        <w:t>once daily</w:t>
      </w:r>
      <w:r w:rsidRPr="006070DD">
        <w:rPr>
          <w:sz w:val="22"/>
          <w:szCs w:val="22"/>
        </w:rPr>
        <w:t xml:space="preserve">, hold until event is grade 1 or lower, or has returned to </w:t>
      </w:r>
      <w:r w:rsidRPr="006070DD">
        <w:rPr>
          <w:sz w:val="22"/>
          <w:szCs w:val="22"/>
        </w:rPr>
        <w:lastRenderedPageBreak/>
        <w:t xml:space="preserve">baseline, and resume treatment at 60 mg </w:t>
      </w:r>
      <w:r w:rsidR="003507E0">
        <w:rPr>
          <w:sz w:val="22"/>
          <w:szCs w:val="22"/>
        </w:rPr>
        <w:t>once daily</w:t>
      </w:r>
      <w:r w:rsidRPr="006070DD">
        <w:rPr>
          <w:sz w:val="22"/>
          <w:szCs w:val="22"/>
        </w:rPr>
        <w:t xml:space="preserve">. When the current dose is 60 mg </w:t>
      </w:r>
      <w:r w:rsidR="003507E0">
        <w:rPr>
          <w:sz w:val="22"/>
          <w:szCs w:val="22"/>
        </w:rPr>
        <w:t>once daily</w:t>
      </w:r>
      <w:r w:rsidRPr="006070DD">
        <w:rPr>
          <w:sz w:val="22"/>
          <w:szCs w:val="22"/>
        </w:rPr>
        <w:t>, consider discontinuing treatment.</w:t>
      </w:r>
    </w:p>
    <w:p w:rsidR="006E5723" w:rsidRPr="006070DD" w:rsidRDefault="006E5723" w:rsidP="006E5723">
      <w:pPr>
        <w:pStyle w:val="ListParagraph"/>
        <w:numPr>
          <w:ilvl w:val="0"/>
          <w:numId w:val="1"/>
        </w:numPr>
        <w:tabs>
          <w:tab w:val="clear" w:pos="0"/>
        </w:tabs>
        <w:spacing w:line="276" w:lineRule="auto"/>
        <w:ind w:left="360"/>
        <w:outlineLvl w:val="9"/>
        <w:rPr>
          <w:sz w:val="22"/>
          <w:szCs w:val="22"/>
        </w:rPr>
      </w:pPr>
      <w:r w:rsidRPr="006070DD">
        <w:rPr>
          <w:sz w:val="22"/>
          <w:szCs w:val="22"/>
        </w:rPr>
        <w:t xml:space="preserve">Grade 4: For 90 mg </w:t>
      </w:r>
      <w:r w:rsidR="00BF0CFB">
        <w:rPr>
          <w:sz w:val="22"/>
          <w:szCs w:val="22"/>
        </w:rPr>
        <w:t>once</w:t>
      </w:r>
      <w:r w:rsidR="00FF386A">
        <w:rPr>
          <w:sz w:val="22"/>
          <w:szCs w:val="22"/>
        </w:rPr>
        <w:t>-</w:t>
      </w:r>
      <w:r w:rsidR="00BF0CFB">
        <w:rPr>
          <w:sz w:val="22"/>
          <w:szCs w:val="22"/>
        </w:rPr>
        <w:t>daily</w:t>
      </w:r>
      <w:r w:rsidRPr="006070DD">
        <w:rPr>
          <w:sz w:val="22"/>
          <w:szCs w:val="22"/>
        </w:rPr>
        <w:t xml:space="preserve"> dose, hold until event is grade 1 or lower, or has returned to baseline. Resume treatment at 60 mg </w:t>
      </w:r>
      <w:r w:rsidR="003813F7">
        <w:rPr>
          <w:sz w:val="22"/>
          <w:szCs w:val="22"/>
        </w:rPr>
        <w:t>once daily</w:t>
      </w:r>
      <w:r w:rsidRPr="006070DD">
        <w:rPr>
          <w:sz w:val="22"/>
          <w:szCs w:val="22"/>
        </w:rPr>
        <w:t xml:space="preserve"> or discontinue (at investigator’s discretion). When the current dose is 60 mg </w:t>
      </w:r>
      <w:r w:rsidR="003813F7">
        <w:rPr>
          <w:sz w:val="22"/>
          <w:szCs w:val="22"/>
        </w:rPr>
        <w:t>once daily</w:t>
      </w:r>
      <w:r w:rsidRPr="006070DD">
        <w:rPr>
          <w:sz w:val="22"/>
          <w:szCs w:val="22"/>
        </w:rPr>
        <w:t>, consider discontinuing treatment.</w:t>
      </w:r>
    </w:p>
    <w:p w:rsidR="006E5723" w:rsidRDefault="006E5723" w:rsidP="006E5723">
      <w:p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</w:p>
    <w:p w:rsidR="006E5723" w:rsidRDefault="006E5723" w:rsidP="006E5723">
      <w:pPr>
        <w:spacing w:line="276" w:lineRule="auto"/>
        <w:ind w:left="86" w:hanging="86"/>
        <w:rPr>
          <w:sz w:val="22"/>
          <w:szCs w:val="22"/>
        </w:rPr>
      </w:pPr>
      <w:proofErr w:type="spellStart"/>
      <w:proofErr w:type="gramStart"/>
      <w:r w:rsidRPr="00557DF5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>For</w:t>
      </w:r>
      <w:proofErr w:type="spellEnd"/>
      <w:proofErr w:type="gramEnd"/>
      <w:r>
        <w:rPr>
          <w:sz w:val="22"/>
          <w:szCs w:val="22"/>
        </w:rPr>
        <w:t xml:space="preserve"> arm B, d</w:t>
      </w:r>
      <w:r w:rsidRPr="006070DD">
        <w:rPr>
          <w:sz w:val="22"/>
          <w:szCs w:val="22"/>
        </w:rPr>
        <w:t xml:space="preserve">ose modification was required for </w:t>
      </w:r>
      <w:r>
        <w:rPr>
          <w:sz w:val="22"/>
          <w:szCs w:val="22"/>
        </w:rPr>
        <w:t xml:space="preserve">grade 2 events lasting longer than 3 days or any </w:t>
      </w:r>
      <w:r w:rsidRPr="006070DD">
        <w:rPr>
          <w:sz w:val="22"/>
          <w:szCs w:val="22"/>
        </w:rPr>
        <w:t>grade</w:t>
      </w:r>
      <w:r>
        <w:rPr>
          <w:sz w:val="22"/>
          <w:szCs w:val="22"/>
        </w:rPr>
        <w:t>s</w:t>
      </w:r>
      <w:r w:rsidRPr="006070DD">
        <w:rPr>
          <w:sz w:val="22"/>
          <w:szCs w:val="22"/>
        </w:rPr>
        <w:t xml:space="preserve"> 3 or 4 </w:t>
      </w:r>
      <w:proofErr w:type="spellStart"/>
      <w:r w:rsidRPr="006070DD">
        <w:rPr>
          <w:sz w:val="22"/>
          <w:szCs w:val="22"/>
        </w:rPr>
        <w:t>nonhematologic</w:t>
      </w:r>
      <w:proofErr w:type="spellEnd"/>
      <w:r w:rsidRPr="006070DD">
        <w:rPr>
          <w:sz w:val="22"/>
          <w:szCs w:val="22"/>
        </w:rPr>
        <w:t xml:space="preserve"> toxicity, including laboratory abnormalities.</w:t>
      </w:r>
    </w:p>
    <w:p w:rsidR="006E5723" w:rsidRPr="00424595" w:rsidRDefault="006E5723" w:rsidP="006E5723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424595">
        <w:rPr>
          <w:sz w:val="22"/>
          <w:szCs w:val="22"/>
        </w:rPr>
        <w:t>For 90 mg once daily dose (</w:t>
      </w:r>
      <w:r w:rsidR="006B1ADF">
        <w:rPr>
          <w:sz w:val="22"/>
          <w:szCs w:val="22"/>
        </w:rPr>
        <w:t>previous</w:t>
      </w:r>
      <w:r w:rsidR="006B1ADF" w:rsidRPr="00424595">
        <w:rPr>
          <w:sz w:val="22"/>
          <w:szCs w:val="22"/>
        </w:rPr>
        <w:t xml:space="preserve"> </w:t>
      </w:r>
      <w:r w:rsidRPr="00424595">
        <w:rPr>
          <w:sz w:val="22"/>
          <w:szCs w:val="22"/>
        </w:rPr>
        <w:t>to dose</w:t>
      </w:r>
      <w:r>
        <w:rPr>
          <w:sz w:val="22"/>
          <w:szCs w:val="22"/>
        </w:rPr>
        <w:t xml:space="preserve"> </w:t>
      </w:r>
      <w:r w:rsidRPr="00424595">
        <w:rPr>
          <w:sz w:val="22"/>
          <w:szCs w:val="22"/>
        </w:rPr>
        <w:t>escalation):</w:t>
      </w:r>
    </w:p>
    <w:p w:rsidR="006E5723" w:rsidRPr="00424595" w:rsidRDefault="006E5723" w:rsidP="006E5723">
      <w:pPr>
        <w:pStyle w:val="ListParagraph"/>
        <w:numPr>
          <w:ilvl w:val="1"/>
          <w:numId w:val="3"/>
        </w:num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Grade 2 (&gt;3 days) and g</w:t>
      </w:r>
      <w:r w:rsidRPr="00424595">
        <w:rPr>
          <w:sz w:val="22"/>
          <w:szCs w:val="22"/>
        </w:rPr>
        <w:t xml:space="preserve">rade 3: </w:t>
      </w:r>
      <w:r>
        <w:rPr>
          <w:sz w:val="22"/>
          <w:szCs w:val="22"/>
        </w:rPr>
        <w:t>H</w:t>
      </w:r>
      <w:r w:rsidRPr="00424595">
        <w:rPr>
          <w:sz w:val="22"/>
          <w:szCs w:val="22"/>
        </w:rPr>
        <w:t xml:space="preserve">old until event is grade 1 or lower, or has returned to baseline. Resume at 90 mg </w:t>
      </w:r>
      <w:r w:rsidR="003813F7">
        <w:rPr>
          <w:sz w:val="22"/>
          <w:szCs w:val="22"/>
        </w:rPr>
        <w:t>once daily</w:t>
      </w:r>
      <w:r w:rsidRPr="00424595">
        <w:rPr>
          <w:sz w:val="22"/>
          <w:szCs w:val="22"/>
        </w:rPr>
        <w:t xml:space="preserve"> (at investigator’s discretion). </w:t>
      </w:r>
    </w:p>
    <w:p w:rsidR="006E5723" w:rsidRDefault="006E5723" w:rsidP="006E5723">
      <w:pPr>
        <w:pStyle w:val="ListParagraph"/>
        <w:numPr>
          <w:ilvl w:val="1"/>
          <w:numId w:val="3"/>
        </w:num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  <w:r w:rsidRPr="006070DD">
        <w:rPr>
          <w:sz w:val="22"/>
          <w:szCs w:val="22"/>
        </w:rPr>
        <w:t xml:space="preserve">Grade 4: </w:t>
      </w:r>
      <w:r>
        <w:rPr>
          <w:sz w:val="22"/>
          <w:szCs w:val="22"/>
        </w:rPr>
        <w:t>H</w:t>
      </w:r>
      <w:r w:rsidRPr="006070DD">
        <w:rPr>
          <w:sz w:val="22"/>
          <w:szCs w:val="22"/>
        </w:rPr>
        <w:t xml:space="preserve">old until event is grade 1 or lower, or has returned to baseline. Resume treatment at 60 mg </w:t>
      </w:r>
      <w:r w:rsidR="003813F7">
        <w:rPr>
          <w:sz w:val="22"/>
          <w:szCs w:val="22"/>
        </w:rPr>
        <w:t>once daily</w:t>
      </w:r>
      <w:r w:rsidRPr="00424595">
        <w:rPr>
          <w:sz w:val="22"/>
          <w:szCs w:val="22"/>
        </w:rPr>
        <w:t xml:space="preserve"> </w:t>
      </w:r>
      <w:r w:rsidRPr="006070DD">
        <w:rPr>
          <w:sz w:val="22"/>
          <w:szCs w:val="22"/>
        </w:rPr>
        <w:t>or discontinue (at investigator’s discretion).</w:t>
      </w:r>
      <w:r>
        <w:rPr>
          <w:sz w:val="22"/>
          <w:szCs w:val="22"/>
        </w:rPr>
        <w:t xml:space="preserve"> </w:t>
      </w:r>
    </w:p>
    <w:p w:rsidR="006E5723" w:rsidRDefault="006E5723" w:rsidP="006E5723">
      <w:pPr>
        <w:pStyle w:val="ListParagraph"/>
        <w:numPr>
          <w:ilvl w:val="0"/>
          <w:numId w:val="1"/>
        </w:num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After dose escalation:</w:t>
      </w:r>
    </w:p>
    <w:p w:rsidR="006E5723" w:rsidRDefault="006E5723" w:rsidP="006E5723">
      <w:pPr>
        <w:pStyle w:val="ListParagraph"/>
        <w:numPr>
          <w:ilvl w:val="1"/>
          <w:numId w:val="4"/>
        </w:num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  <w:r w:rsidRPr="00424595">
        <w:rPr>
          <w:sz w:val="22"/>
          <w:szCs w:val="22"/>
        </w:rPr>
        <w:t>Grade 3</w:t>
      </w:r>
      <w:r>
        <w:rPr>
          <w:sz w:val="22"/>
          <w:szCs w:val="22"/>
        </w:rPr>
        <w:t>:</w:t>
      </w:r>
      <w:r w:rsidRPr="00424595">
        <w:rPr>
          <w:sz w:val="22"/>
          <w:szCs w:val="22"/>
        </w:rPr>
        <w:t xml:space="preserve"> Whe</w:t>
      </w:r>
      <w:r>
        <w:rPr>
          <w:sz w:val="22"/>
          <w:szCs w:val="22"/>
        </w:rPr>
        <w:t xml:space="preserve">n the dose is 180 mg </w:t>
      </w:r>
      <w:r w:rsidR="003813F7">
        <w:rPr>
          <w:sz w:val="22"/>
          <w:szCs w:val="22"/>
        </w:rPr>
        <w:t>once daily</w:t>
      </w:r>
      <w:r>
        <w:rPr>
          <w:sz w:val="22"/>
          <w:szCs w:val="22"/>
        </w:rPr>
        <w:t>, h</w:t>
      </w:r>
      <w:r w:rsidRPr="00424595">
        <w:rPr>
          <w:sz w:val="22"/>
          <w:szCs w:val="22"/>
        </w:rPr>
        <w:t xml:space="preserve">old until event is </w:t>
      </w:r>
      <w:r>
        <w:rPr>
          <w:sz w:val="22"/>
          <w:szCs w:val="22"/>
        </w:rPr>
        <w:t>g</w:t>
      </w:r>
      <w:r w:rsidRPr="00424595">
        <w:rPr>
          <w:sz w:val="22"/>
          <w:szCs w:val="22"/>
        </w:rPr>
        <w:t>rade 1</w:t>
      </w:r>
      <w:r w:rsidR="0006526A">
        <w:rPr>
          <w:sz w:val="22"/>
          <w:szCs w:val="22"/>
        </w:rPr>
        <w:t xml:space="preserve"> </w:t>
      </w:r>
      <w:r w:rsidR="0006526A" w:rsidRPr="006070DD">
        <w:rPr>
          <w:sz w:val="22"/>
          <w:szCs w:val="22"/>
        </w:rPr>
        <w:t>or lower</w:t>
      </w:r>
      <w:r w:rsidRPr="00424595">
        <w:rPr>
          <w:sz w:val="22"/>
          <w:szCs w:val="22"/>
        </w:rPr>
        <w:t>, or has returned to baseline</w:t>
      </w:r>
      <w:r>
        <w:rPr>
          <w:sz w:val="22"/>
          <w:szCs w:val="22"/>
        </w:rPr>
        <w:t xml:space="preserve"> and then r</w:t>
      </w:r>
      <w:r w:rsidRPr="00424595">
        <w:rPr>
          <w:sz w:val="22"/>
          <w:szCs w:val="22"/>
        </w:rPr>
        <w:t xml:space="preserve">esume at 180 mg </w:t>
      </w:r>
      <w:r w:rsidR="003813F7">
        <w:rPr>
          <w:sz w:val="22"/>
          <w:szCs w:val="22"/>
        </w:rPr>
        <w:t>once daily</w:t>
      </w:r>
      <w:r w:rsidRPr="00424595">
        <w:rPr>
          <w:sz w:val="22"/>
          <w:szCs w:val="22"/>
        </w:rPr>
        <w:t xml:space="preserve"> or 120 mg </w:t>
      </w:r>
      <w:r w:rsidR="003813F7">
        <w:rPr>
          <w:sz w:val="22"/>
          <w:szCs w:val="22"/>
        </w:rPr>
        <w:t>once daily</w:t>
      </w:r>
      <w:r w:rsidRPr="00424595">
        <w:rPr>
          <w:sz w:val="22"/>
          <w:szCs w:val="22"/>
        </w:rPr>
        <w:t xml:space="preserve"> </w:t>
      </w:r>
      <w:r w:rsidR="008E3F4D" w:rsidRPr="006070DD">
        <w:rPr>
          <w:sz w:val="22"/>
          <w:szCs w:val="22"/>
        </w:rPr>
        <w:t>(at investigator’s discretion)</w:t>
      </w:r>
      <w:r>
        <w:rPr>
          <w:sz w:val="22"/>
          <w:szCs w:val="22"/>
        </w:rPr>
        <w:t xml:space="preserve">. </w:t>
      </w:r>
      <w:r w:rsidRPr="00424595">
        <w:rPr>
          <w:sz w:val="22"/>
          <w:szCs w:val="22"/>
        </w:rPr>
        <w:t>Whe</w:t>
      </w:r>
      <w:r>
        <w:rPr>
          <w:sz w:val="22"/>
          <w:szCs w:val="22"/>
        </w:rPr>
        <w:t xml:space="preserve">n the current dose is 120 mg </w:t>
      </w:r>
      <w:r w:rsidR="003813F7">
        <w:rPr>
          <w:sz w:val="22"/>
          <w:szCs w:val="22"/>
        </w:rPr>
        <w:t>once daily</w:t>
      </w:r>
      <w:r>
        <w:rPr>
          <w:sz w:val="22"/>
          <w:szCs w:val="22"/>
        </w:rPr>
        <w:t>, h</w:t>
      </w:r>
      <w:r w:rsidRPr="00424595">
        <w:rPr>
          <w:sz w:val="22"/>
          <w:szCs w:val="22"/>
        </w:rPr>
        <w:t xml:space="preserve">old until event is </w:t>
      </w:r>
      <w:r>
        <w:rPr>
          <w:sz w:val="22"/>
          <w:szCs w:val="22"/>
        </w:rPr>
        <w:t>g</w:t>
      </w:r>
      <w:r w:rsidRPr="00424595">
        <w:rPr>
          <w:sz w:val="22"/>
          <w:szCs w:val="22"/>
        </w:rPr>
        <w:t>rade 1</w:t>
      </w:r>
      <w:r w:rsidR="0006526A">
        <w:rPr>
          <w:sz w:val="22"/>
          <w:szCs w:val="22"/>
        </w:rPr>
        <w:t xml:space="preserve"> </w:t>
      </w:r>
      <w:r w:rsidR="0006526A" w:rsidRPr="006070DD">
        <w:rPr>
          <w:sz w:val="22"/>
          <w:szCs w:val="22"/>
        </w:rPr>
        <w:t>or lower</w:t>
      </w:r>
      <w:r w:rsidRPr="00424595">
        <w:rPr>
          <w:sz w:val="22"/>
          <w:szCs w:val="22"/>
        </w:rPr>
        <w:t>, or has returned to baseline</w:t>
      </w:r>
      <w:r>
        <w:rPr>
          <w:sz w:val="22"/>
          <w:szCs w:val="22"/>
        </w:rPr>
        <w:t xml:space="preserve"> and r</w:t>
      </w:r>
      <w:r w:rsidRPr="00424595">
        <w:rPr>
          <w:sz w:val="22"/>
          <w:szCs w:val="22"/>
        </w:rPr>
        <w:t xml:space="preserve">esume at 90 mg </w:t>
      </w:r>
      <w:r w:rsidR="003813F7">
        <w:rPr>
          <w:sz w:val="22"/>
          <w:szCs w:val="22"/>
        </w:rPr>
        <w:t>once daily</w:t>
      </w:r>
      <w:r w:rsidRPr="00424595">
        <w:rPr>
          <w:sz w:val="22"/>
          <w:szCs w:val="22"/>
        </w:rPr>
        <w:t xml:space="preserve"> after recovery</w:t>
      </w:r>
      <w:r>
        <w:rPr>
          <w:sz w:val="22"/>
          <w:szCs w:val="22"/>
        </w:rPr>
        <w:t xml:space="preserve">. </w:t>
      </w:r>
      <w:r w:rsidRPr="00424595">
        <w:rPr>
          <w:sz w:val="22"/>
          <w:szCs w:val="22"/>
        </w:rPr>
        <w:t>Wh</w:t>
      </w:r>
      <w:r>
        <w:rPr>
          <w:sz w:val="22"/>
          <w:szCs w:val="22"/>
        </w:rPr>
        <w:t xml:space="preserve">en the current dose is 90 mg </w:t>
      </w:r>
      <w:r w:rsidR="003813F7">
        <w:rPr>
          <w:sz w:val="22"/>
          <w:szCs w:val="22"/>
        </w:rPr>
        <w:t>once daily</w:t>
      </w:r>
      <w:r>
        <w:rPr>
          <w:sz w:val="22"/>
          <w:szCs w:val="22"/>
        </w:rPr>
        <w:t>, h</w:t>
      </w:r>
      <w:r w:rsidRPr="00424595">
        <w:rPr>
          <w:sz w:val="22"/>
          <w:szCs w:val="22"/>
        </w:rPr>
        <w:t xml:space="preserve">old until event is </w:t>
      </w:r>
      <w:r>
        <w:rPr>
          <w:sz w:val="22"/>
          <w:szCs w:val="22"/>
        </w:rPr>
        <w:t>g</w:t>
      </w:r>
      <w:r w:rsidRPr="00424595">
        <w:rPr>
          <w:sz w:val="22"/>
          <w:szCs w:val="22"/>
        </w:rPr>
        <w:t>rade 1</w:t>
      </w:r>
      <w:r w:rsidR="0006526A">
        <w:rPr>
          <w:sz w:val="22"/>
          <w:szCs w:val="22"/>
        </w:rPr>
        <w:t xml:space="preserve"> </w:t>
      </w:r>
      <w:r w:rsidR="0006526A" w:rsidRPr="006070DD">
        <w:rPr>
          <w:sz w:val="22"/>
          <w:szCs w:val="22"/>
        </w:rPr>
        <w:t>or lower</w:t>
      </w:r>
      <w:r w:rsidRPr="00424595">
        <w:rPr>
          <w:sz w:val="22"/>
          <w:szCs w:val="22"/>
        </w:rPr>
        <w:t>, or has returned to baseline</w:t>
      </w:r>
      <w:r>
        <w:rPr>
          <w:sz w:val="22"/>
          <w:szCs w:val="22"/>
        </w:rPr>
        <w:t xml:space="preserve"> and r</w:t>
      </w:r>
      <w:r w:rsidRPr="00424595">
        <w:rPr>
          <w:sz w:val="22"/>
          <w:szCs w:val="22"/>
        </w:rPr>
        <w:t xml:space="preserve">esume at 60 mg </w:t>
      </w:r>
      <w:r w:rsidR="003813F7">
        <w:rPr>
          <w:sz w:val="22"/>
          <w:szCs w:val="22"/>
        </w:rPr>
        <w:t>once daily</w:t>
      </w:r>
      <w:r w:rsidR="003813F7" w:rsidRPr="006070DD">
        <w:rPr>
          <w:sz w:val="22"/>
          <w:szCs w:val="22"/>
        </w:rPr>
        <w:t xml:space="preserve"> </w:t>
      </w:r>
      <w:r w:rsidRPr="00424595">
        <w:rPr>
          <w:sz w:val="22"/>
          <w:szCs w:val="22"/>
        </w:rPr>
        <w:t xml:space="preserve">after recovery, or discontinue </w:t>
      </w:r>
      <w:r w:rsidR="008E3F4D" w:rsidRPr="006070DD">
        <w:rPr>
          <w:sz w:val="22"/>
          <w:szCs w:val="22"/>
        </w:rPr>
        <w:t>(at investigator’s discretion)</w:t>
      </w:r>
      <w:r>
        <w:rPr>
          <w:sz w:val="22"/>
          <w:szCs w:val="22"/>
        </w:rPr>
        <w:t xml:space="preserve">. </w:t>
      </w:r>
      <w:r w:rsidRPr="00424595">
        <w:rPr>
          <w:sz w:val="22"/>
          <w:szCs w:val="22"/>
        </w:rPr>
        <w:t>Wh</w:t>
      </w:r>
      <w:r>
        <w:rPr>
          <w:sz w:val="22"/>
          <w:szCs w:val="22"/>
        </w:rPr>
        <w:t xml:space="preserve">en the current dose is 60 mg </w:t>
      </w:r>
      <w:r w:rsidR="003813F7">
        <w:rPr>
          <w:sz w:val="22"/>
          <w:szCs w:val="22"/>
        </w:rPr>
        <w:t>once daily</w:t>
      </w:r>
      <w:r>
        <w:rPr>
          <w:sz w:val="22"/>
          <w:szCs w:val="22"/>
        </w:rPr>
        <w:t>, c</w:t>
      </w:r>
      <w:r w:rsidRPr="00424595">
        <w:rPr>
          <w:sz w:val="22"/>
          <w:szCs w:val="22"/>
        </w:rPr>
        <w:t>onsider discontinuing treatment</w:t>
      </w:r>
      <w:r>
        <w:rPr>
          <w:sz w:val="22"/>
          <w:szCs w:val="22"/>
        </w:rPr>
        <w:t>.</w:t>
      </w:r>
    </w:p>
    <w:p w:rsidR="006E5723" w:rsidRPr="00C447BD" w:rsidRDefault="006E5723" w:rsidP="006E5723">
      <w:pPr>
        <w:pStyle w:val="ListParagraph"/>
        <w:numPr>
          <w:ilvl w:val="1"/>
          <w:numId w:val="4"/>
        </w:numPr>
        <w:tabs>
          <w:tab w:val="clear" w:pos="0"/>
        </w:tabs>
        <w:spacing w:line="276" w:lineRule="auto"/>
        <w:outlineLvl w:val="9"/>
        <w:rPr>
          <w:sz w:val="22"/>
          <w:szCs w:val="22"/>
        </w:rPr>
      </w:pPr>
      <w:r w:rsidRPr="00C447BD">
        <w:rPr>
          <w:sz w:val="22"/>
          <w:szCs w:val="22"/>
        </w:rPr>
        <w:t>Grade 4</w:t>
      </w:r>
      <w:r>
        <w:rPr>
          <w:sz w:val="22"/>
          <w:szCs w:val="22"/>
        </w:rPr>
        <w:t>:</w:t>
      </w:r>
      <w:r w:rsidRPr="00C447BD">
        <w:rPr>
          <w:sz w:val="22"/>
          <w:szCs w:val="22"/>
        </w:rPr>
        <w:t xml:space="preserve"> Whe</w:t>
      </w:r>
      <w:r>
        <w:rPr>
          <w:sz w:val="22"/>
          <w:szCs w:val="22"/>
        </w:rPr>
        <w:t xml:space="preserve">n the current dose is 180 mg </w:t>
      </w:r>
      <w:r w:rsidR="003813F7">
        <w:rPr>
          <w:sz w:val="22"/>
          <w:szCs w:val="22"/>
        </w:rPr>
        <w:t>once daily</w:t>
      </w:r>
      <w:r>
        <w:rPr>
          <w:sz w:val="22"/>
          <w:szCs w:val="22"/>
        </w:rPr>
        <w:t>, h</w:t>
      </w:r>
      <w:r w:rsidRPr="00C447BD">
        <w:rPr>
          <w:sz w:val="22"/>
          <w:szCs w:val="22"/>
        </w:rPr>
        <w:t xml:space="preserve">old until event is </w:t>
      </w:r>
      <w:r>
        <w:rPr>
          <w:sz w:val="22"/>
          <w:szCs w:val="22"/>
        </w:rPr>
        <w:t>g</w:t>
      </w:r>
      <w:r w:rsidRPr="00C447BD">
        <w:rPr>
          <w:sz w:val="22"/>
          <w:szCs w:val="22"/>
        </w:rPr>
        <w:t>rade 1</w:t>
      </w:r>
      <w:r w:rsidR="0006526A">
        <w:rPr>
          <w:sz w:val="22"/>
          <w:szCs w:val="22"/>
        </w:rPr>
        <w:t xml:space="preserve"> </w:t>
      </w:r>
      <w:r w:rsidR="0006526A" w:rsidRPr="006070DD">
        <w:rPr>
          <w:sz w:val="22"/>
          <w:szCs w:val="22"/>
        </w:rPr>
        <w:t>or lower</w:t>
      </w:r>
      <w:r w:rsidRPr="00C447BD">
        <w:rPr>
          <w:sz w:val="22"/>
          <w:szCs w:val="22"/>
        </w:rPr>
        <w:t>, or has returned to baseline</w:t>
      </w:r>
      <w:r>
        <w:rPr>
          <w:sz w:val="22"/>
          <w:szCs w:val="22"/>
        </w:rPr>
        <w:t>; r</w:t>
      </w:r>
      <w:r w:rsidRPr="00C447BD">
        <w:rPr>
          <w:sz w:val="22"/>
          <w:szCs w:val="22"/>
        </w:rPr>
        <w:t xml:space="preserve">esume at 120 mg </w:t>
      </w:r>
      <w:r w:rsidR="003813F7">
        <w:rPr>
          <w:sz w:val="22"/>
          <w:szCs w:val="22"/>
        </w:rPr>
        <w:t>once daily</w:t>
      </w:r>
      <w:r w:rsidRPr="00C447BD">
        <w:rPr>
          <w:sz w:val="22"/>
          <w:szCs w:val="22"/>
        </w:rPr>
        <w:t>, or discontinue</w:t>
      </w:r>
      <w:r w:rsidR="00A944F4">
        <w:rPr>
          <w:sz w:val="22"/>
          <w:szCs w:val="22"/>
        </w:rPr>
        <w:t xml:space="preserve"> </w:t>
      </w:r>
      <w:r w:rsidR="008E3F4D" w:rsidRPr="006070DD">
        <w:rPr>
          <w:sz w:val="22"/>
          <w:szCs w:val="22"/>
        </w:rPr>
        <w:t>(at investigator’s discretion)</w:t>
      </w:r>
      <w:r>
        <w:rPr>
          <w:sz w:val="22"/>
          <w:szCs w:val="22"/>
        </w:rPr>
        <w:t xml:space="preserve"> </w:t>
      </w:r>
      <w:r w:rsidRPr="00C447BD">
        <w:rPr>
          <w:sz w:val="22"/>
          <w:szCs w:val="22"/>
        </w:rPr>
        <w:t>Whe</w:t>
      </w:r>
      <w:r>
        <w:rPr>
          <w:sz w:val="22"/>
          <w:szCs w:val="22"/>
        </w:rPr>
        <w:t xml:space="preserve">n the current dose is 120 mg </w:t>
      </w:r>
      <w:r w:rsidR="003813F7">
        <w:rPr>
          <w:sz w:val="22"/>
          <w:szCs w:val="22"/>
        </w:rPr>
        <w:t>once daily</w:t>
      </w:r>
      <w:r>
        <w:rPr>
          <w:sz w:val="22"/>
          <w:szCs w:val="22"/>
        </w:rPr>
        <w:t>, h</w:t>
      </w:r>
      <w:r w:rsidRPr="00C447BD">
        <w:rPr>
          <w:sz w:val="22"/>
          <w:szCs w:val="22"/>
        </w:rPr>
        <w:t xml:space="preserve">old until event is </w:t>
      </w:r>
      <w:r>
        <w:rPr>
          <w:sz w:val="22"/>
          <w:szCs w:val="22"/>
        </w:rPr>
        <w:t>g</w:t>
      </w:r>
      <w:r w:rsidRPr="00C447BD">
        <w:rPr>
          <w:sz w:val="22"/>
          <w:szCs w:val="22"/>
        </w:rPr>
        <w:t>rade 1</w:t>
      </w:r>
      <w:r w:rsidR="00526178">
        <w:rPr>
          <w:sz w:val="22"/>
          <w:szCs w:val="22"/>
        </w:rPr>
        <w:t xml:space="preserve"> </w:t>
      </w:r>
      <w:r w:rsidR="00526178" w:rsidRPr="006070DD">
        <w:rPr>
          <w:sz w:val="22"/>
          <w:szCs w:val="22"/>
        </w:rPr>
        <w:t>or lower</w:t>
      </w:r>
      <w:r w:rsidRPr="00C447BD">
        <w:rPr>
          <w:sz w:val="22"/>
          <w:szCs w:val="22"/>
        </w:rPr>
        <w:t>, or has returned to baseline</w:t>
      </w:r>
      <w:r>
        <w:rPr>
          <w:sz w:val="22"/>
          <w:szCs w:val="22"/>
        </w:rPr>
        <w:t xml:space="preserve">. </w:t>
      </w:r>
      <w:r w:rsidRPr="00C447BD">
        <w:rPr>
          <w:sz w:val="22"/>
          <w:szCs w:val="22"/>
        </w:rPr>
        <w:t xml:space="preserve">Resume at 90 mg </w:t>
      </w:r>
      <w:r w:rsidR="003813F7">
        <w:rPr>
          <w:sz w:val="22"/>
          <w:szCs w:val="22"/>
        </w:rPr>
        <w:t>once daily</w:t>
      </w:r>
      <w:r w:rsidRPr="00C447BD">
        <w:rPr>
          <w:sz w:val="22"/>
          <w:szCs w:val="22"/>
        </w:rPr>
        <w:t>, or discontinue</w:t>
      </w:r>
      <w:r w:rsidR="00A944F4">
        <w:rPr>
          <w:sz w:val="22"/>
          <w:szCs w:val="22"/>
        </w:rPr>
        <w:t xml:space="preserve"> </w:t>
      </w:r>
      <w:r w:rsidR="00A944F4" w:rsidRPr="006070DD">
        <w:rPr>
          <w:sz w:val="22"/>
          <w:szCs w:val="22"/>
        </w:rPr>
        <w:t>(at investigator’s discretion)</w:t>
      </w:r>
      <w:r>
        <w:rPr>
          <w:sz w:val="22"/>
          <w:szCs w:val="22"/>
        </w:rPr>
        <w:t xml:space="preserve">. </w:t>
      </w:r>
      <w:r w:rsidRPr="00C447BD">
        <w:rPr>
          <w:sz w:val="22"/>
          <w:szCs w:val="22"/>
        </w:rPr>
        <w:t>Wh</w:t>
      </w:r>
      <w:r>
        <w:rPr>
          <w:sz w:val="22"/>
          <w:szCs w:val="22"/>
        </w:rPr>
        <w:t xml:space="preserve">en the current dose is 90 mg </w:t>
      </w:r>
      <w:r w:rsidR="003813F7">
        <w:rPr>
          <w:sz w:val="22"/>
          <w:szCs w:val="22"/>
        </w:rPr>
        <w:t>once daily</w:t>
      </w:r>
      <w:r>
        <w:rPr>
          <w:sz w:val="22"/>
          <w:szCs w:val="22"/>
        </w:rPr>
        <w:t>, h</w:t>
      </w:r>
      <w:r w:rsidRPr="00C447BD">
        <w:rPr>
          <w:sz w:val="22"/>
          <w:szCs w:val="22"/>
        </w:rPr>
        <w:t xml:space="preserve">old until event is </w:t>
      </w:r>
      <w:r>
        <w:rPr>
          <w:sz w:val="22"/>
          <w:szCs w:val="22"/>
        </w:rPr>
        <w:t>g</w:t>
      </w:r>
      <w:r w:rsidRPr="00C447BD">
        <w:rPr>
          <w:sz w:val="22"/>
          <w:szCs w:val="22"/>
        </w:rPr>
        <w:t>rade 1</w:t>
      </w:r>
      <w:r w:rsidR="0006526A">
        <w:rPr>
          <w:sz w:val="22"/>
          <w:szCs w:val="22"/>
        </w:rPr>
        <w:t xml:space="preserve"> </w:t>
      </w:r>
      <w:r w:rsidR="0006526A" w:rsidRPr="006070DD">
        <w:rPr>
          <w:sz w:val="22"/>
          <w:szCs w:val="22"/>
        </w:rPr>
        <w:t>or lower</w:t>
      </w:r>
      <w:r w:rsidRPr="00C447BD">
        <w:rPr>
          <w:sz w:val="22"/>
          <w:szCs w:val="22"/>
        </w:rPr>
        <w:t>, or has returned to baseline</w:t>
      </w:r>
      <w:r>
        <w:rPr>
          <w:sz w:val="22"/>
          <w:szCs w:val="22"/>
        </w:rPr>
        <w:t xml:space="preserve"> and r</w:t>
      </w:r>
      <w:r w:rsidRPr="00C447BD">
        <w:rPr>
          <w:sz w:val="22"/>
          <w:szCs w:val="22"/>
        </w:rPr>
        <w:t xml:space="preserve">esume at 60 mg </w:t>
      </w:r>
      <w:r w:rsidR="003813F7">
        <w:rPr>
          <w:sz w:val="22"/>
          <w:szCs w:val="22"/>
        </w:rPr>
        <w:t>once daily</w:t>
      </w:r>
      <w:r w:rsidRPr="00424595">
        <w:rPr>
          <w:sz w:val="22"/>
          <w:szCs w:val="22"/>
        </w:rPr>
        <w:t xml:space="preserve"> </w:t>
      </w:r>
      <w:r w:rsidRPr="00C447BD">
        <w:rPr>
          <w:sz w:val="22"/>
          <w:szCs w:val="22"/>
        </w:rPr>
        <w:t xml:space="preserve">after recovery, or discontinue </w:t>
      </w:r>
      <w:r w:rsidR="008E3F4D" w:rsidRPr="006070DD">
        <w:rPr>
          <w:sz w:val="22"/>
          <w:szCs w:val="22"/>
        </w:rPr>
        <w:t>(at investigator’s discretion)</w:t>
      </w:r>
      <w:r>
        <w:rPr>
          <w:sz w:val="22"/>
          <w:szCs w:val="22"/>
        </w:rPr>
        <w:t xml:space="preserve">. </w:t>
      </w:r>
      <w:r w:rsidRPr="00C447BD">
        <w:rPr>
          <w:sz w:val="22"/>
          <w:szCs w:val="22"/>
        </w:rPr>
        <w:t>Wh</w:t>
      </w:r>
      <w:r>
        <w:rPr>
          <w:sz w:val="22"/>
          <w:szCs w:val="22"/>
        </w:rPr>
        <w:t xml:space="preserve">en the current dose is 60 mg </w:t>
      </w:r>
      <w:r w:rsidR="003813F7">
        <w:rPr>
          <w:sz w:val="22"/>
          <w:szCs w:val="22"/>
        </w:rPr>
        <w:t>once daily</w:t>
      </w:r>
      <w:r>
        <w:rPr>
          <w:sz w:val="22"/>
          <w:szCs w:val="22"/>
        </w:rPr>
        <w:t>, c</w:t>
      </w:r>
      <w:r w:rsidRPr="00C447BD">
        <w:rPr>
          <w:sz w:val="22"/>
          <w:szCs w:val="22"/>
        </w:rPr>
        <w:t>onsider discontinuing treatment</w:t>
      </w:r>
      <w:r>
        <w:rPr>
          <w:sz w:val="22"/>
          <w:szCs w:val="22"/>
        </w:rPr>
        <w:t>.</w:t>
      </w:r>
    </w:p>
    <w:p w:rsidR="006E5723" w:rsidRDefault="006E5723" w:rsidP="006E5723"/>
    <w:p w:rsidR="006E5723" w:rsidRDefault="006E5723" w:rsidP="006E5723"/>
    <w:p w:rsidR="006E5723" w:rsidRDefault="006E5723" w:rsidP="006E5723"/>
    <w:p w:rsidR="00CA7B47" w:rsidRDefault="008C6648"/>
    <w:sectPr w:rsidR="00CA7B47" w:rsidSect="00BD1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B9" w:rsidRDefault="00AE13B7">
      <w:pPr>
        <w:spacing w:line="240" w:lineRule="auto"/>
      </w:pPr>
      <w:r>
        <w:separator/>
      </w:r>
    </w:p>
  </w:endnote>
  <w:endnote w:type="continuationSeparator" w:id="0">
    <w:p w:rsidR="00E64FB9" w:rsidRDefault="00AE1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D1" w:rsidRDefault="008C6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9" w:rsidRDefault="008C6648">
    <w:pPr>
      <w:pStyle w:val="Footer"/>
      <w:jc w:val="center"/>
    </w:pPr>
  </w:p>
  <w:p w:rsidR="00B10D19" w:rsidRDefault="008C6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5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D19" w:rsidRDefault="006E5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10D19" w:rsidRDefault="008C6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B9" w:rsidRDefault="00AE13B7">
      <w:pPr>
        <w:spacing w:line="240" w:lineRule="auto"/>
      </w:pPr>
      <w:r>
        <w:separator/>
      </w:r>
    </w:p>
  </w:footnote>
  <w:footnote w:type="continuationSeparator" w:id="0">
    <w:p w:rsidR="00E64FB9" w:rsidRDefault="00AE1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D1" w:rsidRDefault="008C6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000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D19" w:rsidRDefault="006E57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D19" w:rsidRDefault="008C6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D1" w:rsidRDefault="008C6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1533"/>
    <w:multiLevelType w:val="hybridMultilevel"/>
    <w:tmpl w:val="FB3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4F6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B25D4"/>
    <w:multiLevelType w:val="hybridMultilevel"/>
    <w:tmpl w:val="5694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033"/>
    <w:multiLevelType w:val="hybridMultilevel"/>
    <w:tmpl w:val="C8C2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E3D"/>
    <w:multiLevelType w:val="hybridMultilevel"/>
    <w:tmpl w:val="8342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F5C3E"/>
    <w:multiLevelType w:val="hybridMultilevel"/>
    <w:tmpl w:val="24E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4F6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23"/>
    <w:rsid w:val="0006526A"/>
    <w:rsid w:val="000A2357"/>
    <w:rsid w:val="00117B5E"/>
    <w:rsid w:val="00154BE0"/>
    <w:rsid w:val="001C41D7"/>
    <w:rsid w:val="0027553F"/>
    <w:rsid w:val="003507E0"/>
    <w:rsid w:val="003813F7"/>
    <w:rsid w:val="00526178"/>
    <w:rsid w:val="00562694"/>
    <w:rsid w:val="006B1ADF"/>
    <w:rsid w:val="006E5723"/>
    <w:rsid w:val="008C6648"/>
    <w:rsid w:val="008E3F4D"/>
    <w:rsid w:val="00A10991"/>
    <w:rsid w:val="00A944F4"/>
    <w:rsid w:val="00AE13B7"/>
    <w:rsid w:val="00B1641C"/>
    <w:rsid w:val="00BF0CFB"/>
    <w:rsid w:val="00D24631"/>
    <w:rsid w:val="00E64FB9"/>
    <w:rsid w:val="00E76518"/>
    <w:rsid w:val="00EA5ECE"/>
    <w:rsid w:val="00F036EE"/>
    <w:rsid w:val="00FB3038"/>
    <w:rsid w:val="00FC375A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23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723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723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5723"/>
    <w:pPr>
      <w:tabs>
        <w:tab w:val="clear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2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57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2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E57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572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2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6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94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23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723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723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5723"/>
    <w:pPr>
      <w:tabs>
        <w:tab w:val="clear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2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57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2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E57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572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2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6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9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2019-12-04T14:06:00Z</dcterms:created>
  <dcterms:modified xsi:type="dcterms:W3CDTF">2019-12-09T16:59:00Z</dcterms:modified>
</cp:coreProperties>
</file>